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spacing w:lineRule="auto" w:line="240" w:before="0" w:after="0"/>
        <w:ind w:left="0" w:hanging="2"/>
        <w:jc w:val="center"/>
        <w:rPr>
          <w:position w:val="0"/>
          <w:sz w:val="22"/>
          <w:vertAlign w:val="baseline"/>
        </w:rPr>
      </w:pPr>
      <w:r>
        <w:rPr>
          <w:rFonts w:eastAsia="Times New Roman" w:cs="Times New Roman" w:ascii="Times New Roman" w:hAnsi="Times New Roman"/>
          <w:b/>
          <w:smallCaps/>
          <w:color w:val="000000"/>
          <w:position w:val="0"/>
          <w:sz w:val="24"/>
          <w:sz w:val="24"/>
          <w:szCs w:val="24"/>
          <w:vertAlign w:val="baseline"/>
        </w:rPr>
        <w:t>ИНОВАТИВНОСТ И САВР</w:t>
      </w:r>
      <w:r>
        <w:rPr>
          <w:rFonts w:eastAsia="Times New Roman" w:cs="Times New Roman" w:ascii="Times New Roman" w:hAnsi="Times New Roman"/>
          <w:b/>
          <w:smallCaps/>
          <w:color w:val="000000"/>
          <w:position w:val="0"/>
          <w:sz w:val="24"/>
          <w:sz w:val="24"/>
          <w:szCs w:val="24"/>
          <w:vertAlign w:val="baseline"/>
          <w:lang w:val="en-US"/>
        </w:rPr>
        <w:t>Е</w:t>
      </w:r>
      <w:r>
        <w:rPr>
          <w:rFonts w:eastAsia="Times New Roman" w:cs="Times New Roman" w:ascii="Times New Roman" w:hAnsi="Times New Roman"/>
          <w:b/>
          <w:smallCaps/>
          <w:color w:val="000000"/>
          <w:position w:val="0"/>
          <w:sz w:val="24"/>
          <w:sz w:val="24"/>
          <w:szCs w:val="24"/>
          <w:vertAlign w:val="baseline"/>
        </w:rPr>
        <w:t>МЕНИ ТРЕНДОВИ У ВИСОКООБРАЗОВНИМ ИНСТИТУЦИЈАМА И БИБЛИОТЕКАМА КАО ЈЕДИНИЦАМА У ЊИХОВОМ САСТАВУ</w:t>
      </w:r>
    </w:p>
    <w:p>
      <w:pPr>
        <w:pStyle w:val="Normal"/>
        <w:spacing w:lineRule="auto" w:line="360"/>
        <w:ind w:left="1" w:hanging="3"/>
        <w:rPr>
          <w:rFonts w:ascii="Times New Roman" w:hAnsi="Times New Roman" w:eastAsia="Times New Roman" w:cs="Times New Roman"/>
          <w:position w:val="0"/>
          <w:sz w:val="28"/>
          <w:sz w:val="28"/>
          <w:szCs w:val="28"/>
          <w:vertAlign w:val="baseline"/>
        </w:rPr>
      </w:pPr>
      <w:r>
        <w:rPr>
          <w:rFonts w:eastAsia="Times New Roman" w:cs="Times New Roman" w:ascii="Times New Roman" w:hAnsi="Times New Roman"/>
          <w:position w:val="0"/>
          <w:sz w:val="28"/>
          <w:sz w:val="28"/>
          <w:szCs w:val="28"/>
          <w:vertAlign w:val="baseline"/>
        </w:rPr>
      </w:r>
      <w:bookmarkStart w:id="0" w:name="bookmark=id.gjdgxs"/>
      <w:bookmarkStart w:id="1" w:name="bookmark=id.gjdgxs"/>
      <w:bookmarkEnd w:id="1"/>
    </w:p>
    <w:p>
      <w:pPr>
        <w:pStyle w:val="Heading1"/>
        <w:spacing w:lineRule="auto" w:line="360"/>
        <w:ind w:left="1" w:hanging="3"/>
        <w:jc w:val="left"/>
        <w:rPr>
          <w:position w:val="0"/>
          <w:sz w:val="28"/>
          <w:sz w:val="28"/>
          <w:vertAlign w:val="baseline"/>
        </w:rPr>
      </w:pPr>
      <w:r>
        <w:rPr>
          <w:position w:val="0"/>
          <w:sz w:val="28"/>
          <w:sz w:val="28"/>
          <w:vertAlign w:val="baseline"/>
        </w:rPr>
      </w:r>
    </w:p>
    <w:p>
      <w:pPr>
        <w:pStyle w:val="Heading1"/>
        <w:spacing w:lineRule="auto" w:line="360"/>
        <w:ind w:left="1" w:hanging="3"/>
        <w:rPr>
          <w:position w:val="0"/>
          <w:sz w:val="28"/>
          <w:sz w:val="28"/>
          <w:vertAlign w:val="baseline"/>
        </w:rPr>
      </w:pPr>
      <w:r>
        <w:rPr>
          <w:position w:val="0"/>
          <w:sz w:val="28"/>
          <w:sz w:val="28"/>
          <w:vertAlign w:val="baseline"/>
        </w:rPr>
      </w:r>
    </w:p>
    <w:p>
      <w:pPr>
        <w:pStyle w:val="Heading1"/>
        <w:spacing w:lineRule="auto" w:line="360"/>
        <w:ind w:left="1" w:hanging="3"/>
        <w:rPr>
          <w:position w:val="0"/>
          <w:sz w:val="22"/>
          <w:vertAlign w:val="baseline"/>
        </w:rPr>
      </w:pPr>
      <w:r>
        <w:rPr>
          <w:b w:val="false"/>
          <w:i/>
          <w:position w:val="0"/>
          <w:sz w:val="28"/>
          <w:sz w:val="28"/>
          <w:vertAlign w:val="baseline"/>
        </w:rPr>
        <w:t>АПСТРАКТ</w:t>
      </w:r>
    </w:p>
    <w:p>
      <w:pPr>
        <w:pStyle w:val="Normal"/>
        <w:spacing w:lineRule="auto" w:line="360"/>
        <w:ind w:left="1" w:hanging="3"/>
        <w:rPr>
          <w:rFonts w:ascii="Times New Roman" w:hAnsi="Times New Roman" w:eastAsia="Times New Roman" w:cs="Times New Roman"/>
          <w:position w:val="0"/>
          <w:sz w:val="28"/>
          <w:sz w:val="28"/>
          <w:szCs w:val="28"/>
          <w:vertAlign w:val="baseline"/>
        </w:rPr>
      </w:pPr>
      <w:r>
        <w:rPr>
          <w:rFonts w:eastAsia="Times New Roman" w:cs="Times New Roman" w:ascii="Times New Roman" w:hAnsi="Times New Roman"/>
          <w:position w:val="0"/>
          <w:sz w:val="28"/>
          <w:sz w:val="28"/>
          <w:szCs w:val="28"/>
          <w:vertAlign w:val="baseline"/>
        </w:rPr>
      </w:r>
    </w:p>
    <w:p>
      <w:pPr>
        <w:pStyle w:val="Normal"/>
        <w:pBdr/>
        <w:tabs>
          <w:tab w:val="clear" w:pos="720"/>
          <w:tab w:val="left" w:pos="567" w:leader="none"/>
        </w:tabs>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Иновације су данас присутне у свим сферама људског дјеловања и рада, па су стога незаобилазан сегмент и високо образовање, односно високошколске институције, које пролазе тежак и веома захтјеван развојни пут према будућим облицима бављења образовног, научног и истраживачког рада. У високом образовању подразумијевају се континуирано праћење иновација и њихова примјена у образовном процесу, а који се састоји од уочавања промјена, развоја организације, креирање иновације и њене имплемантације. И све ове активности везане су и за академску, односно високошколску библиотеку, као незаобилазаног фактора у процесу обављања научног и образовног рада, која је за разлику од народне, односно, јавне библиотеке уско повезана с иновативним процесима у образовању, али и обављању научне дјелатности. Заједно с трансформационим процесима, користећи иновативне методе и рјешења, библиотека мора да задовољи корисника и виспреним људством, које је спремно да да одговоре на питања, те да одговори на изазове све захтјевнијих савремених корисника. Из тог разлога нарочито поштујући оно што је прописано принципима етичког кодекса, те законском регулативом из области библиотечког рада, али и рада високошколских институција и заштите интелектуалне својине, запослени у високошколским библиотекама обавезни су да се континуирано и перманентно едукују и образују, те да су непрестано у кораку са савременим трендовима. Да би овај цјелокупан процес био проведен менаџмент ових институција мора, поштујући принципе научног менаџмента, уложити сав напор и знање, да би се добром организацијом и стратегијом досегли циљеви који ће довести до високог квалитета услуге, а самим тим и до конкурентске предности на овом тржишту.</w:t>
      </w:r>
    </w:p>
    <w:p>
      <w:pPr>
        <w:pStyle w:val="Normal"/>
        <w:spacing w:lineRule="auto" w:line="360"/>
        <w:ind w:left="0" w:hanging="2"/>
        <w:rPr>
          <w:rFonts w:ascii="Times New Roman" w:hAnsi="Times New Roman" w:eastAsia="Times New Roman" w:cs="Times New Roman"/>
          <w:position w:val="0"/>
          <w:sz w:val="24"/>
          <w:sz w:val="24"/>
          <w:szCs w:val="24"/>
          <w:vertAlign w:val="baseline"/>
        </w:rPr>
      </w:pPr>
      <w:r>
        <w:rPr>
          <w:rFonts w:eastAsia="Times New Roman" w:cs="Times New Roman" w:ascii="Times New Roman" w:hAnsi="Times New Roman"/>
          <w:position w:val="0"/>
          <w:sz w:val="24"/>
          <w:sz w:val="24"/>
          <w:szCs w:val="24"/>
          <w:vertAlign w:val="baseline"/>
        </w:rPr>
      </w:r>
    </w:p>
    <w:p>
      <w:pPr>
        <w:pStyle w:val="Normal"/>
        <w:spacing w:lineRule="auto" w:line="360"/>
        <w:ind w:left="0" w:hanging="2"/>
        <w:rPr>
          <w:position w:val="0"/>
          <w:sz w:val="22"/>
          <w:vertAlign w:val="baseline"/>
        </w:rPr>
      </w:pPr>
      <w:r>
        <w:rPr>
          <w:rFonts w:eastAsia="Times New Roman" w:cs="Times New Roman" w:ascii="Times New Roman" w:hAnsi="Times New Roman"/>
          <w:i/>
          <w:position w:val="0"/>
          <w:sz w:val="24"/>
          <w:sz w:val="24"/>
          <w:szCs w:val="24"/>
          <w:vertAlign w:val="baseline"/>
        </w:rPr>
        <w:t>Кључне ријечи: иновације, високо образовање, библиотека, конкурентност, манаџмент.</w:t>
      </w:r>
    </w:p>
    <w:p>
      <w:pPr>
        <w:pStyle w:val="Normal"/>
        <w:numPr>
          <w:ilvl w:val="0"/>
          <w:numId w:val="1"/>
        </w:numPr>
        <w:pBdr/>
        <w:spacing w:lineRule="auto" w:line="360" w:before="0" w:after="200"/>
        <w:ind w:left="1" w:hanging="3"/>
        <w:jc w:val="center"/>
        <w:rPr>
          <w:position w:val="0"/>
          <w:sz w:val="22"/>
          <w:vertAlign w:val="baseline"/>
        </w:rPr>
      </w:pPr>
      <w:r>
        <w:rPr>
          <w:rFonts w:eastAsia="Times New Roman" w:cs="Times New Roman" w:ascii="Times New Roman" w:hAnsi="Times New Roman"/>
          <w:i/>
          <w:color w:val="000000"/>
          <w:position w:val="0"/>
          <w:sz w:val="28"/>
          <w:sz w:val="28"/>
          <w:szCs w:val="28"/>
          <w:vertAlign w:val="baseline"/>
        </w:rPr>
        <w:t xml:space="preserve"> </w:t>
      </w:r>
      <w:r>
        <w:rPr>
          <w:rFonts w:eastAsia="Times New Roman" w:cs="Times New Roman" w:ascii="Times New Roman" w:hAnsi="Times New Roman"/>
          <w:i/>
          <w:color w:val="000000"/>
          <w:position w:val="0"/>
          <w:sz w:val="28"/>
          <w:sz w:val="28"/>
          <w:szCs w:val="28"/>
          <w:vertAlign w:val="baseline"/>
        </w:rPr>
        <w:t>УВОД</w:t>
      </w:r>
    </w:p>
    <w:p>
      <w:pPr>
        <w:pStyle w:val="Normal"/>
        <w:pBdr/>
        <w:spacing w:lineRule="auto" w:line="240" w:before="0" w:after="200"/>
        <w:ind w:left="0" w:hanging="2"/>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pBdr/>
        <w:tabs>
          <w:tab w:val="clear" w:pos="720"/>
          <w:tab w:val="left" w:pos="567" w:leader="none"/>
        </w:tabs>
        <w:spacing w:lineRule="auto" w:line="360" w:before="0" w:after="200"/>
        <w:ind w:left="2"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Овај рад ће се, кроз све сегменте и принципе научног менаџмента, бавити иновативним процесима у високошколским институцијама, с посебним освртом на библиотеке, као њиховог саставног дијела и веома битне карике у процесу стицања и пружања знања. Стога полазимо од чињеница да:</w:t>
      </w:r>
    </w:p>
    <w:p>
      <w:pPr>
        <w:pStyle w:val="Normal"/>
        <w:numPr>
          <w:ilvl w:val="0"/>
          <w:numId w:val="3"/>
        </w:numPr>
        <w:pBdr/>
        <w:tabs>
          <w:tab w:val="clear" w:pos="720"/>
          <w:tab w:val="left" w:pos="567" w:leader="none"/>
        </w:tabs>
        <w:spacing w:lineRule="auto" w:line="360" w:before="0" w:after="200"/>
        <w:jc w:val="both"/>
        <w:rPr>
          <w:position w:val="0"/>
          <w:sz w:val="22"/>
          <w:vertAlign w:val="baseline"/>
        </w:rPr>
      </w:pPr>
      <w:r>
        <w:rPr>
          <w:rFonts w:eastAsia="Times New Roman" w:cs="Times New Roman" w:ascii="Times New Roman" w:hAnsi="Times New Roman"/>
          <w:color w:val="000000"/>
          <w:position w:val="0"/>
          <w:sz w:val="24"/>
          <w:sz w:val="24"/>
          <w:szCs w:val="24"/>
          <w:vertAlign w:val="baseline"/>
          <w:lang w:val="en-US"/>
        </w:rPr>
        <w:t>“</w:t>
      </w:r>
      <w:r>
        <w:rPr>
          <w:rFonts w:eastAsia="Times New Roman" w:cs="Times New Roman" w:ascii="Times New Roman" w:hAnsi="Times New Roman"/>
          <w:color w:val="000000"/>
          <w:position w:val="0"/>
          <w:sz w:val="24"/>
          <w:sz w:val="24"/>
          <w:szCs w:val="24"/>
          <w:vertAlign w:val="baseline"/>
        </w:rPr>
        <w:t xml:space="preserve">Улагање у образовање (је) инвестиција која има дужи рок поврата, али чији су ефекти вишеструки и који се мултипликују кроз све области друштва. </w:t>
      </w:r>
    </w:p>
    <w:p>
      <w:pPr>
        <w:pStyle w:val="Normal"/>
        <w:numPr>
          <w:ilvl w:val="0"/>
          <w:numId w:val="3"/>
        </w:numPr>
        <w:pBdr/>
        <w:tabs>
          <w:tab w:val="clear" w:pos="720"/>
          <w:tab w:val="left" w:pos="567" w:leader="none"/>
        </w:tabs>
        <w:spacing w:lineRule="auto" w:line="360" w:before="0" w:after="200"/>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 xml:space="preserve">Промјене које попримају галопирајући тренд приморавају све тржишне актере да систематично приступе њиховом праћењу и реаговању на исте. </w:t>
      </w:r>
    </w:p>
    <w:p>
      <w:pPr>
        <w:pStyle w:val="Normal"/>
        <w:numPr>
          <w:ilvl w:val="0"/>
          <w:numId w:val="3"/>
        </w:numPr>
        <w:pBdr/>
        <w:tabs>
          <w:tab w:val="clear" w:pos="720"/>
          <w:tab w:val="left" w:pos="567" w:leader="none"/>
        </w:tabs>
        <w:spacing w:lineRule="auto" w:line="360" w:before="0" w:after="200"/>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Императив високообразовне институције је конкурентско позиционирање на тржишту образовања, примјеном континуиране иновације у креирању маркетинг стратегије, уз испоруку очекиваног нивоа услуга корисницима, а истовремено у складу с потребама друштва</w:t>
      </w:r>
      <w:r>
        <w:rPr>
          <w:rFonts w:eastAsia="Times New Roman" w:cs="Times New Roman" w:ascii="Times New Roman" w:hAnsi="Times New Roman"/>
          <w:color w:val="000000"/>
          <w:position w:val="0"/>
          <w:sz w:val="24"/>
          <w:sz w:val="24"/>
          <w:szCs w:val="24"/>
          <w:vertAlign w:val="baseline"/>
          <w:lang w:val="en-US"/>
        </w:rPr>
        <w:t>”</w:t>
      </w:r>
      <w:r>
        <w:rPr>
          <w:rFonts w:eastAsia="Times New Roman" w:cs="Times New Roman" w:ascii="Times New Roman" w:hAnsi="Times New Roman"/>
          <w:color w:val="000000"/>
          <w:position w:val="0"/>
          <w:sz w:val="24"/>
          <w:sz w:val="24"/>
          <w:szCs w:val="24"/>
          <w:vertAlign w:val="baseline"/>
        </w:rPr>
        <w:t>.</w:t>
      </w:r>
      <w:r>
        <w:rPr>
          <w:rFonts w:eastAsia="Times New Roman" w:cs="Times New Roman" w:ascii="Times New Roman" w:hAnsi="Times New Roman"/>
          <w:color w:val="000000"/>
          <w:position w:val="0"/>
          <w:sz w:val="24"/>
          <w:sz w:val="24"/>
          <w:szCs w:val="24"/>
          <w:vertAlign w:val="baseline"/>
          <w:lang w:val="en-US"/>
        </w:rPr>
        <w:t xml:space="preserve"> (Гостимировић, Л. 2015) </w:t>
      </w:r>
    </w:p>
    <w:p>
      <w:pPr>
        <w:pStyle w:val="Normal"/>
        <w:numPr>
          <w:ilvl w:val="0"/>
          <w:numId w:val="3"/>
        </w:numPr>
        <w:pBdr/>
        <w:tabs>
          <w:tab w:val="clear" w:pos="720"/>
          <w:tab w:val="left" w:pos="567" w:leader="none"/>
        </w:tabs>
        <w:spacing w:lineRule="auto" w:line="360" w:before="0" w:after="200"/>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Управљањем иновацијама у високом образовању треба</w:t>
      </w:r>
      <w:r>
        <w:rPr>
          <w:rFonts w:eastAsia="Times New Roman" w:cs="Times New Roman" w:ascii="Times New Roman" w:hAnsi="Times New Roman"/>
          <w:color w:val="000000"/>
          <w:position w:val="0"/>
          <w:sz w:val="24"/>
          <w:sz w:val="24"/>
          <w:szCs w:val="24"/>
          <w:vertAlign w:val="baseline"/>
          <w:lang w:val="en-US"/>
        </w:rPr>
        <w:t>ло би</w:t>
      </w:r>
      <w:r>
        <w:rPr>
          <w:rFonts w:eastAsia="Times New Roman" w:cs="Times New Roman" w:ascii="Times New Roman" w:hAnsi="Times New Roman"/>
          <w:color w:val="000000"/>
          <w:position w:val="0"/>
          <w:sz w:val="24"/>
          <w:sz w:val="24"/>
          <w:szCs w:val="24"/>
          <w:vertAlign w:val="baseline"/>
        </w:rPr>
        <w:t xml:space="preserve"> приступити са стратешког нивоа, стварајући организациону културу флексибилну и способну за све врсте промјена. </w:t>
      </w:r>
    </w:p>
    <w:p>
      <w:pPr>
        <w:pStyle w:val="Normal"/>
        <w:numPr>
          <w:ilvl w:val="0"/>
          <w:numId w:val="3"/>
        </w:numPr>
        <w:pBdr/>
        <w:tabs>
          <w:tab w:val="clear" w:pos="720"/>
          <w:tab w:val="left" w:pos="567" w:leader="none"/>
        </w:tabs>
        <w:spacing w:lineRule="auto" w:line="360" w:before="0" w:after="200"/>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 xml:space="preserve">Примјена маркетинг менаџмента заснованог на иновацијама омогућава подизање квалитета у систему високог образовања. Промоција високошколских установа рађена кроз савремене промотивне канале значајно доприноси стварању позитивније слике о установи, јасно шаљући поруку циљној групи да је способна да одговори изазовима будућности. </w:t>
      </w:r>
    </w:p>
    <w:p>
      <w:pPr>
        <w:pStyle w:val="Normal"/>
        <w:numPr>
          <w:ilvl w:val="0"/>
          <w:numId w:val="3"/>
        </w:numPr>
        <w:pBdr/>
        <w:tabs>
          <w:tab w:val="clear" w:pos="720"/>
          <w:tab w:val="left" w:pos="567" w:leader="none"/>
        </w:tabs>
        <w:spacing w:lineRule="auto" w:line="360" w:before="0" w:after="200"/>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 xml:space="preserve">Конкурентска предност се све више заснивана на остваривању и праћењу преференција корисника услуга и њихово задовољавање кроз иновирање наставног процеса. </w:t>
      </w:r>
    </w:p>
    <w:p>
      <w:pPr>
        <w:pStyle w:val="Normal"/>
        <w:numPr>
          <w:ilvl w:val="0"/>
          <w:numId w:val="3"/>
        </w:numPr>
        <w:pBdr/>
        <w:tabs>
          <w:tab w:val="clear" w:pos="720"/>
          <w:tab w:val="left" w:pos="567" w:leader="none"/>
        </w:tabs>
        <w:spacing w:lineRule="auto" w:line="360" w:before="0" w:after="200"/>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 xml:space="preserve">Информационе технологије </w:t>
      </w:r>
      <w:r>
        <w:rPr>
          <w:rFonts w:eastAsia="Times New Roman" w:cs="Times New Roman" w:ascii="Times New Roman" w:hAnsi="Times New Roman"/>
          <w:color w:val="000000"/>
          <w:position w:val="0"/>
          <w:sz w:val="24"/>
          <w:sz w:val="24"/>
          <w:szCs w:val="24"/>
          <w:vertAlign w:val="baseline"/>
          <w:lang w:val="en-US"/>
        </w:rPr>
        <w:t>стварају</w:t>
      </w:r>
      <w:r>
        <w:rPr>
          <w:rFonts w:eastAsia="Times New Roman" w:cs="Times New Roman" w:ascii="Times New Roman" w:hAnsi="Times New Roman"/>
          <w:color w:val="000000"/>
          <w:position w:val="0"/>
          <w:sz w:val="24"/>
          <w:sz w:val="24"/>
          <w:szCs w:val="24"/>
          <w:vertAlign w:val="baseline"/>
        </w:rPr>
        <w:t xml:space="preserve"> огромне могућности за унапређење пружања услуга у високом образовању, рушећи временске и просторне баријере. </w:t>
      </w:r>
    </w:p>
    <w:p>
      <w:pPr>
        <w:pStyle w:val="Normal"/>
        <w:numPr>
          <w:ilvl w:val="0"/>
          <w:numId w:val="3"/>
        </w:numPr>
        <w:pBdr/>
        <w:tabs>
          <w:tab w:val="clear" w:pos="720"/>
          <w:tab w:val="left" w:pos="567" w:leader="none"/>
        </w:tabs>
        <w:spacing w:lineRule="auto" w:line="360" w:before="0" w:after="200"/>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Све ове активности огледају се највише у наставном процесу, али и у раду и организовању библиотеке, која би требало да пружи све информације везане за обављање научне дјелатности и несметаног наставног процеса.</w:t>
      </w:r>
    </w:p>
    <w:p>
      <w:pPr>
        <w:pStyle w:val="Normal"/>
        <w:pBdr/>
        <w:tabs>
          <w:tab w:val="clear" w:pos="720"/>
          <w:tab w:val="left" w:pos="567" w:leader="none"/>
        </w:tabs>
        <w:spacing w:lineRule="auto" w:line="360" w:before="0" w:after="200"/>
        <w:ind w:left="-2" w:hanging="0"/>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 xml:space="preserve">Степен образовања и могућност прилагођавања промјенама које су свакодневно присутне у вријеме техничко-технолошког развоја и експанзије информационих технологија, незаобилазан су показатељ достигнутог нивоа друштвеног развоја у свакој друштвеној заједници. Стицање формалног и неформалног образовања и овладавање широким дијапазоном различитих вјештина, омогућава и подразумијева бољу оспособљеност за обављање сложених и одговорних послова у савременом друштву, а тиме и боље позиционирање на друштвеној и професионалној љествици. Иновације, с којима се сусрећемо, иако се на први поглед чине превише компликоване, заправо нам омогућавају лакше обављање свакодневних активности, убрзан проток информација, па самим тим и спремност да одговоримо брже и квалитетније на све изазове на које наилазимо. Кроз ту призму, а полазећи од чињенице да су технолошка конкурентност и иновантивност постале кључне детерминанте успјешности, добијамо боље и учинковитије резултате рада, ефикаснији смо у процесима учења, добијања идеја, те у њиховој реализацији као главном циљу. </w:t>
      </w:r>
    </w:p>
    <w:p>
      <w:pPr>
        <w:pStyle w:val="Normal"/>
        <w:pBdr/>
        <w:tabs>
          <w:tab w:val="clear" w:pos="720"/>
          <w:tab w:val="left" w:pos="567" w:leader="none"/>
        </w:tabs>
        <w:spacing w:lineRule="auto" w:line="360" w:before="0" w:after="0"/>
        <w:ind w:left="0" w:hanging="0"/>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 xml:space="preserve">Управљање промјенама се сматра једном од основних функција савременог менаџмента, које служи да би се идентификовали правци развоја којима се на оптималан начин успоставља солидна релација с промјенама у окружењу. </w:t>
      </w:r>
    </w:p>
    <w:p>
      <w:pPr>
        <w:pStyle w:val="Normal"/>
        <w:pBdr/>
        <w:tabs>
          <w:tab w:val="clear" w:pos="720"/>
          <w:tab w:val="left" w:pos="567" w:leader="none"/>
        </w:tabs>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Нови иновациони модели морају узети у обзир основну релацију стратешког управљања иновацијама, која повезује способност високошколских установа и могућности окружења, које се огледа у тржишту, а све кроз стратегију као посредну, усмјеравајућу снагу за остварење циља ефективности, односно развоја.</w:t>
      </w:r>
    </w:p>
    <w:p>
      <w:pPr>
        <w:pStyle w:val="Normal"/>
        <w:pBdr/>
        <w:tabs>
          <w:tab w:val="clear" w:pos="720"/>
          <w:tab w:val="left" w:pos="567" w:leader="none"/>
        </w:tabs>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У свим овим утицајима на савремено друштво високошколске установе се суочавају с низом тешкоћа и ограничења, која досежу толико далеко, да чак и угрожавају њихов опстанак. Како би се избориле са свим пошастима и изазовима који су им наметнуте, дијелом кроз законску регулативу, дијелом кроз све веће захтјеве савремених корисника услуга, менаџмент ових институција принуђен је да даје брзе и ефикасне одговоре, проналази начине праћења савремених трендова, те осавремењава услове и начине рада, увођењем савремених иновативних рјешења у све службе једне овакве организације. Овај задатак није нимало лак, јер је на тржишту тренутно дефицит интелектуалне снаге, али и слаба финансијска моћ која додатно отежава овај проблем. Да би високошколска установа могла да парира на тржишту образовним кадровима који не смију да заостају за оним образованим и оспособљаваним у другим институцијама у свијету, мора да иновативне процесе проведе кроз све сегменте своје организације, а који ће се вјероватно највише тицати наставно-научног процеса рада и оспособљености кадрова, те неизоставно и библиотека, које морају бити кадре да одговоре на све потребе свих актера у једном образовно-научном процесу. Стога би, да бисмо сагледали ову проблематику и покушали доћи до одређених закључака, требало прво да се осврнемо на сам појам иновација, те на моделе иновативних организација заснованих на знању, као и на могућности њихове имплементације.</w:t>
      </w:r>
    </w:p>
    <w:p>
      <w:pPr>
        <w:pStyle w:val="Normal"/>
        <w:pBdr/>
        <w:spacing w:lineRule="auto" w:line="24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 xml:space="preserve"> </w:t>
      </w:r>
    </w:p>
    <w:p>
      <w:pPr>
        <w:pStyle w:val="Normal"/>
        <w:pBdr/>
        <w:spacing w:lineRule="auto" w:line="240" w:before="0" w:after="0"/>
        <w:ind w:left="0" w:hanging="2"/>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pBdr/>
        <w:spacing w:lineRule="auto" w:line="240" w:before="0" w:after="0"/>
        <w:ind w:left="0" w:hanging="2"/>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numPr>
          <w:ilvl w:val="0"/>
          <w:numId w:val="1"/>
        </w:numPr>
        <w:pBdr/>
        <w:spacing w:lineRule="auto" w:line="360"/>
        <w:ind w:left="1" w:hanging="3"/>
        <w:jc w:val="center"/>
        <w:rPr>
          <w:position w:val="0"/>
          <w:sz w:val="22"/>
          <w:vertAlign w:val="baseline"/>
        </w:rPr>
      </w:pPr>
      <w:r>
        <w:rPr>
          <w:rFonts w:eastAsia="Times New Roman" w:cs="Times New Roman" w:ascii="Times New Roman" w:hAnsi="Times New Roman"/>
          <w:i/>
          <w:color w:val="000000"/>
          <w:position w:val="0"/>
          <w:sz w:val="28"/>
          <w:sz w:val="28"/>
          <w:szCs w:val="28"/>
          <w:vertAlign w:val="baseline"/>
        </w:rPr>
        <w:t xml:space="preserve"> </w:t>
      </w:r>
      <w:r>
        <w:rPr>
          <w:rFonts w:eastAsia="Times New Roman" w:cs="Times New Roman" w:ascii="Times New Roman" w:hAnsi="Times New Roman"/>
          <w:i/>
          <w:color w:val="000000"/>
          <w:position w:val="0"/>
          <w:sz w:val="28"/>
          <w:sz w:val="28"/>
          <w:szCs w:val="28"/>
          <w:vertAlign w:val="baseline"/>
        </w:rPr>
        <w:t>ИНОВАЦИЈЕ</w:t>
      </w:r>
    </w:p>
    <w:p>
      <w:pPr>
        <w:pStyle w:val="Normal"/>
        <w:pBdr/>
        <w:spacing w:lineRule="auto" w:line="360" w:before="0" w:after="200"/>
        <w:ind w:left="1" w:hanging="3"/>
        <w:jc w:val="both"/>
        <w:rPr>
          <w:rFonts w:ascii="Times New Roman" w:hAnsi="Times New Roman" w:eastAsia="Times New Roman" w:cs="Times New Roman"/>
          <w:color w:val="000000"/>
          <w:position w:val="0"/>
          <w:sz w:val="28"/>
          <w:sz w:val="28"/>
          <w:szCs w:val="28"/>
          <w:vertAlign w:val="baseline"/>
        </w:rPr>
      </w:pPr>
      <w:r>
        <w:rPr>
          <w:rFonts w:eastAsia="Times New Roman" w:cs="Times New Roman" w:ascii="Times New Roman" w:hAnsi="Times New Roman"/>
          <w:color w:val="000000"/>
          <w:position w:val="0"/>
          <w:sz w:val="28"/>
          <w:sz w:val="28"/>
          <w:szCs w:val="28"/>
          <w:vertAlign w:val="baseline"/>
        </w:rPr>
      </w:r>
    </w:p>
    <w:p>
      <w:pPr>
        <w:pStyle w:val="Normal"/>
        <w:pBdr/>
        <w:tabs>
          <w:tab w:val="clear" w:pos="720"/>
          <w:tab w:val="left" w:pos="567" w:leader="none"/>
        </w:tabs>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 xml:space="preserve">Почеци развоја теорије иновација повезују се с анализама Јозефа Шумпетера, још у првој половини прошлог вијека, који их је прецизирао као основни фактор технолошког прогреса и економског развоја, у смислу замјене старих технологија новим, што је назвао креативном деструкцијом. Овом синтагмом се подразумијева процес у ком се основним импулсом, који покреће и одржава капиталистички систем у покрету, долази до нових потрошних добара, метода производње или транспорта, тржишта и нових облика индустријске организације, које стварају капиталистичка предузећа. </w:t>
      </w:r>
    </w:p>
    <w:p>
      <w:pPr>
        <w:pStyle w:val="Normal"/>
        <w:pBdr/>
        <w:tabs>
          <w:tab w:val="clear" w:pos="720"/>
          <w:tab w:val="left" w:pos="567" w:leader="none"/>
        </w:tabs>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Термин иновација потиче од латинске ријечи „</w:t>
      </w:r>
      <w:r>
        <w:rPr>
          <w:rFonts w:eastAsia="Times New Roman" w:cs="Times New Roman" w:ascii="Times New Roman" w:hAnsi="Times New Roman"/>
          <w:i/>
          <w:color w:val="000000"/>
          <w:position w:val="0"/>
          <w:sz w:val="24"/>
          <w:sz w:val="24"/>
          <w:szCs w:val="24"/>
          <w:vertAlign w:val="baseline"/>
        </w:rPr>
        <w:t xml:space="preserve">innovatio“, </w:t>
      </w:r>
      <w:r>
        <w:rPr>
          <w:rFonts w:eastAsia="Times New Roman" w:cs="Times New Roman" w:ascii="Times New Roman" w:hAnsi="Times New Roman"/>
          <w:color w:val="000000"/>
          <w:position w:val="0"/>
          <w:sz w:val="24"/>
          <w:sz w:val="24"/>
          <w:szCs w:val="24"/>
          <w:vertAlign w:val="baseline"/>
        </w:rPr>
        <w:t>šто значи нов изум који унапређује неки производ или метод рада; новина, новотарија, промјена. (Клајн, Иван, Шипка, Милан, 2006, 516) Иновација је примјена нове и побо</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 xml:space="preserve">шане идеје, поступка, добра, услуге, процеса, а која доноси нове користи, нове вриједности или квалитет у примјени. Овај термин може означавати: </w:t>
      </w:r>
    </w:p>
    <w:p>
      <w:pPr>
        <w:pStyle w:val="Normal"/>
        <w:numPr>
          <w:ilvl w:val="0"/>
          <w:numId w:val="4"/>
        </w:numPr>
        <w:pBdr/>
        <w:spacing w:lineRule="auto" w:line="360" w:before="0" w:after="0"/>
        <w:jc w:val="both"/>
        <w:rPr/>
      </w:pPr>
      <w:r>
        <w:rPr>
          <w:rFonts w:eastAsia="Times New Roman" w:cs="Times New Roman" w:ascii="Times New Roman" w:hAnsi="Times New Roman"/>
          <w:b/>
          <w:color w:val="000000"/>
          <w:position w:val="0"/>
          <w:sz w:val="24"/>
          <w:sz w:val="24"/>
          <w:szCs w:val="24"/>
          <w:vertAlign w:val="baseline"/>
        </w:rPr>
        <w:t>производ</w:t>
      </w:r>
      <w:r>
        <w:rPr>
          <w:rFonts w:eastAsia="Times New Roman" w:cs="Times New Roman" w:ascii="Times New Roman" w:hAnsi="Times New Roman"/>
          <w:color w:val="000000"/>
          <w:position w:val="0"/>
          <w:sz w:val="24"/>
          <w:sz w:val="24"/>
          <w:szCs w:val="24"/>
          <w:vertAlign w:val="baseline"/>
        </w:rPr>
        <w:t xml:space="preserve"> - иновација као производ или услуга која имају тржишну верификацију и</w:t>
      </w:r>
    </w:p>
    <w:p>
      <w:pPr>
        <w:pStyle w:val="Normal"/>
        <w:numPr>
          <w:ilvl w:val="0"/>
          <w:numId w:val="4"/>
        </w:numPr>
        <w:pBdr/>
        <w:spacing w:lineRule="auto" w:line="360" w:before="0" w:after="0"/>
        <w:jc w:val="both"/>
        <w:rPr/>
      </w:pPr>
      <w:r>
        <w:rPr>
          <w:rFonts w:eastAsia="Times New Roman" w:cs="Times New Roman" w:ascii="Times New Roman" w:hAnsi="Times New Roman"/>
          <w:b/>
          <w:color w:val="000000"/>
          <w:position w:val="0"/>
          <w:sz w:val="24"/>
          <w:sz w:val="24"/>
          <w:szCs w:val="24"/>
          <w:vertAlign w:val="baseline"/>
        </w:rPr>
        <w:t>процес</w:t>
      </w:r>
      <w:r>
        <w:rPr>
          <w:rFonts w:eastAsia="Times New Roman" w:cs="Times New Roman" w:ascii="Times New Roman" w:hAnsi="Times New Roman"/>
          <w:color w:val="000000"/>
          <w:position w:val="0"/>
          <w:sz w:val="24"/>
          <w:sz w:val="24"/>
          <w:szCs w:val="24"/>
          <w:vertAlign w:val="baseline"/>
        </w:rPr>
        <w:t xml:space="preserve"> - иновација као иновациони процес од идеје до реализације, тј. од генерисања идеје до имплементације. </w:t>
      </w:r>
    </w:p>
    <w:p>
      <w:pPr>
        <w:pStyle w:val="Normal"/>
        <w:pBdr/>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lang w:val="en-US"/>
        </w:rPr>
        <w:tab/>
        <w:tab/>
        <w:t>Све ово нас</w:t>
      </w:r>
      <w:r>
        <w:rPr>
          <w:rFonts w:eastAsia="Times New Roman" w:cs="Times New Roman" w:ascii="Times New Roman" w:hAnsi="Times New Roman"/>
          <w:color w:val="000000"/>
          <w:position w:val="0"/>
          <w:sz w:val="24"/>
          <w:sz w:val="24"/>
          <w:szCs w:val="24"/>
          <w:vertAlign w:val="baseline"/>
        </w:rPr>
        <w:t xml:space="preserve"> заправо доводи до спознаје да су иновације ништа друго до трансформације идеја у нове или унапријеђене технолошке процесе или производе с изласком на тржиште, нове организационе системе или нов приступ услугама. Нове идеје могу да подразумијевају и да се односе на неки нови или побо</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шани производ односно услугу, али такође и на начин на који се производ односно услуга испоручују. “Свако средство уз помоћ кога предузетници могу да профитирају, захва</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 xml:space="preserve">ујући могућностима које се крију у промјенама у окружењу су иновације. </w:t>
      </w:r>
      <w:r>
        <w:rPr>
          <w:rFonts w:eastAsia="Times New Roman" w:cs="Times New Roman" w:ascii="Times New Roman" w:hAnsi="Times New Roman"/>
          <w:color w:val="000000"/>
          <w:position w:val="0"/>
          <w:sz w:val="24"/>
          <w:sz w:val="24"/>
          <w:szCs w:val="24"/>
          <w:vertAlign w:val="baseline"/>
          <w:lang w:val="en-US"/>
        </w:rPr>
        <w:t>Њ</w:t>
      </w:r>
      <w:r>
        <w:rPr>
          <w:rFonts w:eastAsia="Times New Roman" w:cs="Times New Roman" w:ascii="Times New Roman" w:hAnsi="Times New Roman"/>
          <w:color w:val="000000"/>
          <w:position w:val="0"/>
          <w:sz w:val="24"/>
          <w:sz w:val="24"/>
          <w:szCs w:val="24"/>
          <w:vertAlign w:val="baseline"/>
        </w:rPr>
        <w:t xml:space="preserve">има претходе инвенције, и оне су у ствари примијењени проналасци. Иновације се директно могу примијенити од стране предузетника, у производњи или у било којој другој области </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удске дјелатности.” (Williams, Leslie K, Mcguire, Steohen J, 2010, 391-412).</w:t>
      </w:r>
    </w:p>
    <w:p>
      <w:pPr>
        <w:pStyle w:val="Normal"/>
        <w:pBdr/>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Бити иновативан не значи само развијати нови високотехнолошки производ. За многе  организације иновација представ</w:t>
      </w:r>
      <w:r>
        <w:rPr>
          <w:rFonts w:eastAsia="Times New Roman" w:cs="Times New Roman" w:ascii="Times New Roman" w:hAnsi="Times New Roman"/>
          <w:position w:val="0"/>
          <w:sz w:val="24"/>
          <w:sz w:val="24"/>
          <w:szCs w:val="24"/>
          <w:vertAlign w:val="baseline"/>
        </w:rPr>
        <w:t>љ</w:t>
      </w:r>
      <w:r>
        <w:rPr>
          <w:rFonts w:eastAsia="Times New Roman" w:cs="Times New Roman" w:ascii="Times New Roman" w:hAnsi="Times New Roman"/>
          <w:color w:val="000000"/>
          <w:position w:val="0"/>
          <w:sz w:val="24"/>
          <w:sz w:val="24"/>
          <w:szCs w:val="24"/>
          <w:vertAlign w:val="baseline"/>
        </w:rPr>
        <w:t>а управ</w:t>
      </w:r>
      <w:r>
        <w:rPr>
          <w:rFonts w:eastAsia="Times New Roman" w:cs="Times New Roman" w:ascii="Times New Roman" w:hAnsi="Times New Roman"/>
          <w:position w:val="0"/>
          <w:sz w:val="24"/>
          <w:sz w:val="24"/>
          <w:szCs w:val="24"/>
          <w:vertAlign w:val="baseline"/>
        </w:rPr>
        <w:t>љ</w:t>
      </w:r>
      <w:r>
        <w:rPr>
          <w:rFonts w:eastAsia="Times New Roman" w:cs="Times New Roman" w:ascii="Times New Roman" w:hAnsi="Times New Roman"/>
          <w:color w:val="000000"/>
          <w:position w:val="0"/>
          <w:sz w:val="24"/>
          <w:sz w:val="24"/>
          <w:szCs w:val="24"/>
          <w:vertAlign w:val="baseline"/>
        </w:rPr>
        <w:t>ачки процес систематичног експлоатисања нових идеја у ци</w:t>
      </w:r>
      <w:r>
        <w:rPr>
          <w:rFonts w:eastAsia="Times New Roman" w:cs="Times New Roman" w:ascii="Times New Roman" w:hAnsi="Times New Roman"/>
          <w:position w:val="0"/>
          <w:sz w:val="24"/>
          <w:sz w:val="24"/>
          <w:szCs w:val="24"/>
          <w:vertAlign w:val="baseline"/>
        </w:rPr>
        <w:t>љ</w:t>
      </w:r>
      <w:r>
        <w:rPr>
          <w:rFonts w:eastAsia="Times New Roman" w:cs="Times New Roman" w:ascii="Times New Roman" w:hAnsi="Times New Roman"/>
          <w:color w:val="000000"/>
          <w:position w:val="0"/>
          <w:sz w:val="24"/>
          <w:sz w:val="24"/>
          <w:szCs w:val="24"/>
          <w:vertAlign w:val="baseline"/>
        </w:rPr>
        <w:t>у остваривања конкурентске предности. Из свих наведених разлога јасно нам је да су улагање у знање и улагање у иновације заправо улагање у будућност. Па је значајно осврнути се на иновативне процесе који се тичу, и који се примјењују у образовном процесу, прије свих у високошколским институцијама, и свим њеним организационим дијеловима, као осјетљивим организацијама које кроз иновативност, и праћење иновативних трендова, стварају нове иновације и подлогу за лакшу будућност.</w:t>
      </w:r>
    </w:p>
    <w:p>
      <w:pPr>
        <w:pStyle w:val="Normal"/>
        <w:pBdr/>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Иновативност је способност преображавања постојећих идеја у корисне нове облике или комбинације које су послије тога толико другачије да изгледају као потпуно нове. То омогућава да се досегну ци</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еви развоја као сасвим нове ствари и да се омогући коришћење научних и технолошких резултата и потенцијала. Концепт и процес усаглашавања ци</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ева ва</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ани су само ако се изводе на јасно дефинисаној структури и хијерархији стратегије. У данашњим сложеним условима двострука је улога иновативности и развоја. За иновативност је, с једне стране, карактеристична потреба да се идеје све више умножавају, а с друге, да се претачу у технолошке иновације. Коришћењем благодети информационих технологија доприноси се убрзаном повећању продуктивности и, за разлику од претходних технологија, утиче се на глобализацију јачајући стварне и финансијске везе. С друге стране, не само да подстиче промет производа, него и ствара информатичке производе велике тржишне вриједности. Оно што је код информацијских технологија важно, јесте дјеловање знања на само знање као главни извор продуктивности, а иновативност доприноси да се обезбиједе адекватне квалификације за обав</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ање одређених послова у привреди и друштву (Williams, K, McGguire, J, 2010, 391-412). Најбо</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 xml:space="preserve">е је приступ овом проблему засновати на тези да је иновативност иницирана мудрошћу. Из овог разлога иновативност се сагледава као изузетно сложено питање, јер се не уклапа увијек у друштвени контекст, пошто свака иновација ствара потпуно нове животне услове. </w:t>
      </w:r>
    </w:p>
    <w:p>
      <w:pPr>
        <w:pStyle w:val="Normal"/>
        <w:pBdr/>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Важна активност која одређује иновативну организацију је систематично рјешавање проблема засновано на примјени научних метода, али и експериментисање с новим знањима и приступима, учењу из сопственог искуства као и искуства других, а исто тако и ефикасном вршењу трансфера знања кроз цијелу организациону структуру.</w:t>
      </w:r>
    </w:p>
    <w:p>
      <w:pPr>
        <w:pStyle w:val="Normal"/>
        <w:pBdr/>
        <w:spacing w:lineRule="auto" w:line="360" w:before="0" w:after="0"/>
        <w:ind w:left="0" w:hanging="2"/>
        <w:jc w:val="both"/>
        <w:rPr>
          <w:rFonts w:ascii="Times New Roman" w:hAnsi="Times New Roman" w:eastAsia="Times New Roman" w:cs="Times New Roman"/>
          <w:position w:val="0"/>
          <w:sz w:val="24"/>
          <w:sz w:val="24"/>
          <w:szCs w:val="24"/>
          <w:vertAlign w:val="baseline"/>
        </w:rPr>
      </w:pPr>
      <w:r>
        <w:rPr>
          <w:rFonts w:eastAsia="Times New Roman" w:cs="Times New Roman" w:ascii="Times New Roman" w:hAnsi="Times New Roman"/>
          <w:position w:val="0"/>
          <w:sz w:val="24"/>
          <w:sz w:val="24"/>
          <w:szCs w:val="24"/>
          <w:vertAlign w:val="baseline"/>
        </w:rPr>
      </w:r>
    </w:p>
    <w:p>
      <w:pPr>
        <w:pStyle w:val="Normal"/>
        <w:pBdr/>
        <w:spacing w:lineRule="auto" w:line="360" w:before="0" w:after="0"/>
        <w:ind w:left="0" w:hanging="2"/>
        <w:jc w:val="both"/>
        <w:rPr>
          <w:rFonts w:ascii="Times New Roman" w:hAnsi="Times New Roman" w:eastAsia="Times New Roman" w:cs="Times New Roman"/>
          <w:position w:val="0"/>
          <w:sz w:val="24"/>
          <w:sz w:val="24"/>
          <w:szCs w:val="24"/>
          <w:vertAlign w:val="baseline"/>
        </w:rPr>
      </w:pPr>
      <w:r>
        <w:rPr>
          <w:rFonts w:eastAsia="Times New Roman" w:cs="Times New Roman" w:ascii="Times New Roman" w:hAnsi="Times New Roman"/>
          <w:position w:val="0"/>
          <w:sz w:val="24"/>
          <w:sz w:val="24"/>
          <w:szCs w:val="24"/>
          <w:vertAlign w:val="baseline"/>
        </w:rPr>
      </w:r>
    </w:p>
    <w:p>
      <w:pPr>
        <w:pStyle w:val="Normal"/>
        <w:numPr>
          <w:ilvl w:val="0"/>
          <w:numId w:val="1"/>
        </w:numPr>
        <w:pBdr/>
        <w:tabs>
          <w:tab w:val="clear" w:pos="720"/>
          <w:tab w:val="left" w:pos="2880" w:leader="none"/>
        </w:tabs>
        <w:spacing w:lineRule="auto" w:line="240" w:before="0" w:after="0"/>
        <w:ind w:left="1" w:hanging="3"/>
        <w:jc w:val="center"/>
        <w:rPr/>
      </w:pPr>
      <w:r>
        <w:rPr>
          <w:rFonts w:eastAsia="Times New Roman" w:cs="Times New Roman" w:ascii="Times New Roman" w:hAnsi="Times New Roman"/>
          <w:i/>
          <w:color w:val="000000"/>
          <w:position w:val="0"/>
          <w:sz w:val="28"/>
          <w:sz w:val="28"/>
          <w:szCs w:val="28"/>
          <w:vertAlign w:val="baseline"/>
        </w:rPr>
        <w:t xml:space="preserve"> </w:t>
      </w:r>
      <w:r>
        <w:rPr>
          <w:rFonts w:eastAsia="Times New Roman" w:cs="Times New Roman" w:ascii="Times New Roman" w:hAnsi="Times New Roman"/>
          <w:i/>
          <w:color w:val="000000"/>
          <w:position w:val="0"/>
          <w:sz w:val="28"/>
          <w:sz w:val="28"/>
          <w:szCs w:val="28"/>
          <w:vertAlign w:val="baseline"/>
        </w:rPr>
        <w:t>УПРАВЉАЊЕ ЗНАЊЕМ И ИНОВАЦИЈАМА У ВИСОКОШКОЛСКОЈ УСТАНОВИ</w:t>
      </w:r>
    </w:p>
    <w:p>
      <w:pPr>
        <w:pStyle w:val="Normal"/>
        <w:pBdr/>
        <w:tabs>
          <w:tab w:val="clear" w:pos="720"/>
          <w:tab w:val="left" w:pos="2880" w:leader="none"/>
        </w:tabs>
        <w:spacing w:lineRule="auto" w:line="24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 xml:space="preserve"> </w:t>
      </w:r>
    </w:p>
    <w:p>
      <w:pPr>
        <w:pStyle w:val="Normal"/>
        <w:pBdr/>
        <w:tabs>
          <w:tab w:val="clear" w:pos="720"/>
          <w:tab w:val="left" w:pos="567" w:leader="none"/>
          <w:tab w:val="left" w:pos="2880" w:leader="none"/>
        </w:tabs>
        <w:spacing w:lineRule="auto" w:line="24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 xml:space="preserve">     </w:t>
      </w:r>
    </w:p>
    <w:p>
      <w:pPr>
        <w:pStyle w:val="Normal"/>
        <w:pBdr/>
        <w:tabs>
          <w:tab w:val="clear" w:pos="720"/>
          <w:tab w:val="left" w:pos="567" w:leader="none"/>
          <w:tab w:val="left" w:pos="2880" w:leader="none"/>
        </w:tabs>
        <w:spacing w:lineRule="auto" w:line="240" w:before="0" w:after="0"/>
        <w:ind w:left="0" w:hanging="2"/>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pBdr/>
        <w:tabs>
          <w:tab w:val="clear" w:pos="720"/>
          <w:tab w:val="left" w:pos="567" w:leader="none"/>
          <w:tab w:val="left" w:pos="2880" w:leader="none"/>
        </w:tabs>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Савремена организација знања је она која учи, памти и дјелује на најбо</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и могући начин на основу информација и доступних научних достигнућа. Глобална распрострањеност иновативних активности је пос</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едица потреба организације за новим сазнањима и способностима. Највећи проблем у управ</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ању знањем у иновативним организацијама чини балансирање између знања које посједује појединац и колективног знања неке организације или тима, као и усклађивање односа између знања које је теоретско и онога које је примијењено. Интеграција знања је процес у коме појединци дијеле и комбинују прикуп</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ене информације како би колективно креирали ново знање. Интеграција знања је важна у контексту иновативних пројектних тимова и к</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 xml:space="preserve">учна у процесима иновације. </w:t>
      </w:r>
    </w:p>
    <w:p>
      <w:pPr>
        <w:pStyle w:val="Normal"/>
        <w:pBdr/>
        <w:tabs>
          <w:tab w:val="clear" w:pos="720"/>
          <w:tab w:val="left" w:pos="567" w:leader="none"/>
          <w:tab w:val="left" w:pos="2880" w:leader="none"/>
        </w:tabs>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 xml:space="preserve">Организације које уче су оне које имају највише шансе за успјех и напредак у будућности. У њима </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 xml:space="preserve">уди континуирано проширују своје капацитете, да створе резултате које желе, гдје се нове и експанзивне идеје његују, гдје колективне аспинације ослобађају и гдје </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уди константно вјежбају како да заједно проширују своја знања. Трајне потребе за висококвалификованим, самосталним и обученим кадровима, али и све неопходније преквалификације и доквалификације, шире по</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е дјеловања и примјене знања и образовања. Степен инвестирања у знање и образовање постаје све пресуднији показате</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 xml:space="preserve"> разумијевања савремених тенденција пословања менаџмента и предуслов остварења конкурентских предности на цјелокупном тржишту. </w:t>
      </w:r>
    </w:p>
    <w:p>
      <w:pPr>
        <w:pStyle w:val="Normal"/>
        <w:pBdr/>
        <w:tabs>
          <w:tab w:val="clear" w:pos="720"/>
          <w:tab w:val="left" w:pos="567" w:leader="none"/>
          <w:tab w:val="left" w:pos="2880" w:leader="none"/>
        </w:tabs>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Појмови као што су „организације које уче“ (learning organization), „иновативна организација“ (innovative organization), „организација која креира знање“ (knowledge creating company), или „организација заснована на знању“ (knowledge – based organization) све се чешће користе у савременој литератури која третира област управ</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ања промјенама у организацијама и на најсликовитији начин изражава однос најуспјешнијих савремених организација и њихових мена</w:t>
      </w:r>
      <w:r>
        <w:rPr>
          <w:rFonts w:eastAsia="Times New Roman" w:cs="Times New Roman" w:ascii="Times New Roman" w:hAnsi="Times New Roman"/>
          <w:color w:val="000000"/>
          <w:position w:val="0"/>
          <w:sz w:val="24"/>
          <w:sz w:val="24"/>
          <w:szCs w:val="24"/>
          <w:vertAlign w:val="baseline"/>
          <w:lang w:val="en-US"/>
        </w:rPr>
        <w:t>џ</w:t>
      </w:r>
      <w:r>
        <w:rPr>
          <w:rFonts w:eastAsia="Times New Roman" w:cs="Times New Roman" w:ascii="Times New Roman" w:hAnsi="Times New Roman"/>
          <w:color w:val="000000"/>
          <w:position w:val="0"/>
          <w:sz w:val="24"/>
          <w:sz w:val="24"/>
          <w:szCs w:val="24"/>
          <w:vertAlign w:val="baseline"/>
        </w:rPr>
        <w:t>ера према знању и образовању свих запослених. Интересовање за проучавање организација које уче помиње се у економској литератури крајем 80-их година прошлог вијека и оно је резултат спознаје да је учење неопходно за стицање и развој конкуренских предности.</w:t>
      </w:r>
    </w:p>
    <w:p>
      <w:pPr>
        <w:pStyle w:val="Normal"/>
        <w:pBdr/>
        <w:tabs>
          <w:tab w:val="clear" w:pos="720"/>
          <w:tab w:val="left" w:pos="567" w:leader="none"/>
          <w:tab w:val="left" w:pos="2880" w:leader="none"/>
        </w:tabs>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 xml:space="preserve">Раније се знање везивало уз личност, сада се везује уз рад, јер је постало и ресурс. </w:t>
        <w:tab/>
        <w:t>Знање је према садашњим критеријумима јавно добро. У почетку се примјењивало на оруђе процеса и производе, што је била основа индустријске револуције. Ци</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 xml:space="preserve"> савремене организације је да се сви пословни процеси посматрају као процеси знања, што ук</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учује стварање знања, његово ширење, надградњу и примјену у цијелој организацији. Савремене организације проналазе начин за стварање додатне вриједности кроз идентификовање, примјену и коришћење знања на јединствен начин, а то је процес који је дијелом наука, дијелом умјетност, а добрим дијелом и срећа. Организације и мена</w:t>
      </w:r>
      <w:r>
        <w:rPr>
          <w:rFonts w:eastAsia="Times New Roman" w:cs="Times New Roman" w:ascii="Times New Roman" w:hAnsi="Times New Roman"/>
          <w:color w:val="000000"/>
          <w:position w:val="0"/>
          <w:sz w:val="24"/>
          <w:sz w:val="24"/>
          <w:szCs w:val="24"/>
          <w:vertAlign w:val="baseline"/>
          <w:lang w:val="en-US"/>
        </w:rPr>
        <w:t>џ</w:t>
      </w:r>
      <w:r>
        <w:rPr>
          <w:rFonts w:eastAsia="Times New Roman" w:cs="Times New Roman" w:ascii="Times New Roman" w:hAnsi="Times New Roman"/>
          <w:color w:val="000000"/>
          <w:position w:val="0"/>
          <w:sz w:val="24"/>
          <w:sz w:val="24"/>
          <w:szCs w:val="24"/>
          <w:vertAlign w:val="baseline"/>
        </w:rPr>
        <w:t>ери у њима требало би да теже стварању што више експлицитног знања, које је према својој природи колективно. Такво знање уведено у операције не може нестати на начин на који појединац може напустити неку организацију. Како ће изгледати систем управ</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 xml:space="preserve">ања знањем, односно на који начин ће се он успоставити и како ће функционисати, зависи од конкретне ситуације у којој се организација налази.  </w:t>
      </w:r>
    </w:p>
    <w:p>
      <w:pPr>
        <w:pStyle w:val="Normal"/>
        <w:pBdr/>
        <w:tabs>
          <w:tab w:val="clear" w:pos="720"/>
          <w:tab w:val="left" w:pos="567" w:leader="none"/>
          <w:tab w:val="left" w:pos="2880" w:leader="none"/>
        </w:tabs>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Модели управ</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 xml:space="preserve">ања знањем су бројни и различити, а један од основних се састоји из четири међусобно повезане фазе: </w:t>
      </w:r>
    </w:p>
    <w:p>
      <w:pPr>
        <w:pStyle w:val="Normal"/>
        <w:numPr>
          <w:ilvl w:val="0"/>
          <w:numId w:val="2"/>
        </w:numPr>
        <w:pBdr/>
        <w:tabs>
          <w:tab w:val="clear" w:pos="720"/>
          <w:tab w:val="left" w:pos="2880" w:leader="none"/>
        </w:tabs>
        <w:spacing w:lineRule="auto" w:line="360" w:before="0" w:after="0"/>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Креирање знања – ова фаза се односи на унос новог знања у организацију и ук</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учује подфазе откривања, прикуп</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 xml:space="preserve">ања и развоја новог знања. </w:t>
      </w:r>
    </w:p>
    <w:p>
      <w:pPr>
        <w:pStyle w:val="Normal"/>
        <w:numPr>
          <w:ilvl w:val="0"/>
          <w:numId w:val="2"/>
        </w:numPr>
        <w:pBdr/>
        <w:tabs>
          <w:tab w:val="clear" w:pos="720"/>
          <w:tab w:val="left" w:pos="2880" w:leader="none"/>
        </w:tabs>
        <w:spacing w:lineRule="auto" w:line="360" w:before="0" w:after="0"/>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Чување знања – у питању је скуп активности који се односи на правилно складиштење прикуп</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 xml:space="preserve">еног знања и његов опстанак унутар система. </w:t>
      </w:r>
    </w:p>
    <w:p>
      <w:pPr>
        <w:pStyle w:val="Normal"/>
        <w:numPr>
          <w:ilvl w:val="0"/>
          <w:numId w:val="2"/>
        </w:numPr>
        <w:pBdr/>
        <w:tabs>
          <w:tab w:val="clear" w:pos="720"/>
          <w:tab w:val="left" w:pos="2880" w:leader="none"/>
        </w:tabs>
        <w:spacing w:lineRule="auto" w:line="360" w:before="0" w:after="0"/>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Трансфер знања – односи се на активности преношења знања између дијелова организације и појединаца. Он ук</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 xml:space="preserve">учује комуникацију, превођење, конверзију и филтрирање знања. </w:t>
      </w:r>
    </w:p>
    <w:p>
      <w:pPr>
        <w:pStyle w:val="Normal"/>
        <w:numPr>
          <w:ilvl w:val="0"/>
          <w:numId w:val="2"/>
        </w:numPr>
        <w:pBdr/>
        <w:tabs>
          <w:tab w:val="clear" w:pos="720"/>
          <w:tab w:val="left" w:pos="2880" w:leader="none"/>
        </w:tabs>
        <w:spacing w:lineRule="auto" w:line="360" w:before="0" w:after="0"/>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Коришћење знања – ову фазу одликују активности које се односе на практичну примену стечених знања у свакодневном пословању.</w:t>
      </w:r>
    </w:p>
    <w:p>
      <w:pPr>
        <w:pStyle w:val="Normal"/>
        <w:pBdr/>
        <w:tabs>
          <w:tab w:val="clear" w:pos="720"/>
          <w:tab w:val="left" w:pos="567" w:leader="none"/>
          <w:tab w:val="left" w:pos="2880" w:leader="none"/>
        </w:tabs>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 xml:space="preserve">Менаџмент има задатак да у институцијама и образовним организацијама, високошколским и другим установама, коришћењем добре пословне стратегије, добрим руковођењем, на најмаксималнији начин стави на располагање све ресурсе и капацитете једне организације корисницима својих услуга. </w:t>
      </w:r>
    </w:p>
    <w:p>
      <w:pPr>
        <w:pStyle w:val="Normal"/>
        <w:pBdr/>
        <w:tabs>
          <w:tab w:val="clear" w:pos="720"/>
          <w:tab w:val="left" w:pos="567" w:leader="none"/>
          <w:tab w:val="left" w:pos="2880" w:leader="none"/>
        </w:tabs>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Подстицање иновативности запослених подразумијева способност менаџмента да створи амбијент погодан за креирање иновација и адекватно вредновање запослених за постигнуте успјехе, односно да створи одговарајућу иновативну културу у организацији. Иновативну организациону културу карактеришу вјера у иновације и идеје, маркетинг орјентација, тимски рад, лојалност организацији, спремност за преузимање ризика и висок осјећај одговорности.</w:t>
      </w:r>
    </w:p>
    <w:p>
      <w:pPr>
        <w:pStyle w:val="Normal"/>
        <w:pBdr/>
        <w:tabs>
          <w:tab w:val="clear" w:pos="720"/>
          <w:tab w:val="left" w:pos="567" w:leader="none"/>
          <w:tab w:val="left" w:pos="2880" w:leader="none"/>
        </w:tabs>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За ефикасно управ</w:t>
      </w:r>
      <w:r>
        <w:rPr>
          <w:rFonts w:eastAsia="Times New Roman" w:cs="Times New Roman" w:ascii="Times New Roman" w:hAnsi="Times New Roman"/>
          <w:color w:val="000000"/>
          <w:position w:val="0"/>
          <w:sz w:val="24"/>
          <w:sz w:val="24"/>
          <w:szCs w:val="24"/>
          <w:vertAlign w:val="baseline"/>
          <w:lang w:val="en-US"/>
        </w:rPr>
        <w:t>љ</w:t>
      </w:r>
      <w:r>
        <w:rPr>
          <w:rFonts w:eastAsia="Times New Roman" w:cs="Times New Roman" w:ascii="Times New Roman" w:hAnsi="Times New Roman"/>
          <w:color w:val="000000"/>
          <w:position w:val="0"/>
          <w:sz w:val="24"/>
          <w:sz w:val="24"/>
          <w:szCs w:val="24"/>
          <w:vertAlign w:val="baseline"/>
        </w:rPr>
        <w:t>ање организационим знањем потребно је да постоји пет елемената, а то су: посвећивање пажње перманентном учењу, комбиновање знања и искуства, подјела постојећег организационог знања, међусобна сарадња и комуникација, доступност информација и коришћење и развијање постојећег знања. Опстанак организација и појединаца у несигурном и пром</w:t>
      </w:r>
      <w:r>
        <w:rPr>
          <w:rFonts w:eastAsia="Times New Roman" w:cs="Times New Roman" w:ascii="Times New Roman" w:hAnsi="Times New Roman"/>
          <w:color w:val="000000"/>
          <w:position w:val="0"/>
          <w:sz w:val="24"/>
          <w:sz w:val="24"/>
          <w:szCs w:val="24"/>
          <w:vertAlign w:val="baseline"/>
          <w:lang w:val="en-US"/>
        </w:rPr>
        <w:t>ј</w:t>
      </w:r>
      <w:r>
        <w:rPr>
          <w:rFonts w:eastAsia="Times New Roman" w:cs="Times New Roman" w:ascii="Times New Roman" w:hAnsi="Times New Roman"/>
          <w:color w:val="000000"/>
          <w:position w:val="0"/>
          <w:sz w:val="24"/>
          <w:sz w:val="24"/>
          <w:szCs w:val="24"/>
          <w:vertAlign w:val="baseline"/>
        </w:rPr>
        <w:t>ењивом окружењу зависи прије свега од њихове способности да уче.</w:t>
      </w:r>
    </w:p>
    <w:p>
      <w:pPr>
        <w:pStyle w:val="Normal"/>
        <w:pBdr/>
        <w:tabs>
          <w:tab w:val="clear" w:pos="720"/>
          <w:tab w:val="left" w:pos="2880" w:leader="none"/>
        </w:tabs>
        <w:spacing w:lineRule="auto" w:line="240" w:before="0" w:after="0"/>
        <w:ind w:left="0" w:hanging="2"/>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pBdr/>
        <w:spacing w:lineRule="auto" w:line="240" w:before="0" w:after="0"/>
        <w:ind w:left="0" w:hanging="2"/>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pBdr/>
        <w:spacing w:lineRule="auto" w:line="240" w:before="0" w:after="0"/>
        <w:ind w:left="0" w:hanging="2"/>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pBdr/>
        <w:spacing w:lineRule="auto" w:line="240" w:before="0" w:after="0"/>
        <w:ind w:left="0" w:hanging="2"/>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numPr>
          <w:ilvl w:val="0"/>
          <w:numId w:val="1"/>
        </w:numPr>
        <w:pBdr/>
        <w:spacing w:lineRule="auto" w:line="240" w:before="0" w:after="0"/>
        <w:ind w:left="1" w:hanging="3"/>
        <w:jc w:val="center"/>
        <w:rPr>
          <w:position w:val="0"/>
          <w:sz w:val="22"/>
          <w:vertAlign w:val="baseline"/>
        </w:rPr>
      </w:pPr>
      <w:r>
        <w:rPr>
          <w:rFonts w:eastAsia="Times New Roman" w:cs="Times New Roman" w:ascii="Times New Roman" w:hAnsi="Times New Roman"/>
          <w:i/>
          <w:color w:val="000000"/>
          <w:position w:val="0"/>
          <w:sz w:val="28"/>
          <w:sz w:val="28"/>
          <w:szCs w:val="28"/>
          <w:vertAlign w:val="baseline"/>
        </w:rPr>
        <w:t xml:space="preserve"> </w:t>
      </w:r>
      <w:r>
        <w:rPr>
          <w:rFonts w:eastAsia="Times New Roman" w:cs="Times New Roman" w:ascii="Times New Roman" w:hAnsi="Times New Roman"/>
          <w:i/>
          <w:color w:val="000000"/>
          <w:position w:val="0"/>
          <w:sz w:val="28"/>
          <w:sz w:val="28"/>
          <w:szCs w:val="28"/>
          <w:vertAlign w:val="baseline"/>
        </w:rPr>
        <w:t>АКАДЕМСКА БИБЛИОТЕКА КАО ПОДРШКА НАСТАВНОМ ПРОЦЕСУ И УЧЕЊА НА ДАЉИНУ</w:t>
      </w:r>
    </w:p>
    <w:p>
      <w:pPr>
        <w:pStyle w:val="Normal"/>
        <w:pBdr/>
        <w:spacing w:lineRule="auto" w:line="240" w:before="0" w:after="0"/>
        <w:ind w:left="0" w:hanging="2"/>
        <w:jc w:val="center"/>
        <w:rPr>
          <w:rFonts w:ascii="Times New Roman" w:hAnsi="Times New Roman" w:eastAsia="Times New Roman" w:cs="Times New Roman"/>
          <w:i/>
          <w:i/>
          <w:color w:val="000000"/>
          <w:position w:val="0"/>
          <w:sz w:val="24"/>
          <w:sz w:val="24"/>
          <w:szCs w:val="24"/>
          <w:vertAlign w:val="baseline"/>
        </w:rPr>
      </w:pPr>
      <w:r>
        <w:rPr>
          <w:rFonts w:eastAsia="Times New Roman" w:cs="Times New Roman" w:ascii="Times New Roman" w:hAnsi="Times New Roman"/>
          <w:i/>
          <w:color w:val="000000"/>
          <w:position w:val="0"/>
          <w:sz w:val="24"/>
          <w:sz w:val="24"/>
          <w:szCs w:val="24"/>
          <w:vertAlign w:val="baseline"/>
        </w:rPr>
      </w:r>
    </w:p>
    <w:p>
      <w:pPr>
        <w:pStyle w:val="Normal"/>
        <w:pBdr/>
        <w:spacing w:lineRule="auto" w:line="240" w:before="0" w:after="0"/>
        <w:ind w:left="0" w:hanging="2"/>
        <w:jc w:val="center"/>
        <w:rPr>
          <w:rFonts w:ascii="Times New Roman" w:hAnsi="Times New Roman" w:eastAsia="Times New Roman" w:cs="Times New Roman"/>
          <w:i/>
          <w:i/>
          <w:color w:val="000000"/>
          <w:position w:val="0"/>
          <w:sz w:val="24"/>
          <w:sz w:val="24"/>
          <w:szCs w:val="24"/>
          <w:vertAlign w:val="baseline"/>
        </w:rPr>
      </w:pPr>
      <w:r>
        <w:rPr>
          <w:rFonts w:eastAsia="Times New Roman" w:cs="Times New Roman" w:ascii="Times New Roman" w:hAnsi="Times New Roman"/>
          <w:i/>
          <w:color w:val="000000"/>
          <w:position w:val="0"/>
          <w:sz w:val="24"/>
          <w:sz w:val="24"/>
          <w:szCs w:val="24"/>
          <w:vertAlign w:val="baseline"/>
        </w:rPr>
      </w:r>
    </w:p>
    <w:p>
      <w:pPr>
        <w:pStyle w:val="Normal"/>
        <w:pBdr/>
        <w:spacing w:lineRule="auto" w:line="240" w:before="0" w:after="0"/>
        <w:ind w:left="0" w:hanging="2"/>
        <w:jc w:val="both"/>
        <w:rPr>
          <w:rFonts w:ascii="Times New Roman" w:hAnsi="Times New Roman" w:eastAsia="Times New Roman" w:cs="Times New Roman"/>
          <w:i/>
          <w:i/>
          <w:color w:val="000000"/>
          <w:position w:val="0"/>
          <w:sz w:val="24"/>
          <w:sz w:val="24"/>
          <w:szCs w:val="24"/>
          <w:vertAlign w:val="baseline"/>
        </w:rPr>
      </w:pPr>
      <w:r>
        <w:rPr>
          <w:rFonts w:eastAsia="Times New Roman" w:cs="Times New Roman" w:ascii="Times New Roman" w:hAnsi="Times New Roman"/>
          <w:i/>
          <w:color w:val="000000"/>
          <w:position w:val="0"/>
          <w:sz w:val="24"/>
          <w:sz w:val="24"/>
          <w:szCs w:val="24"/>
          <w:vertAlign w:val="baseline"/>
        </w:rPr>
      </w:r>
    </w:p>
    <w:p>
      <w:pPr>
        <w:pStyle w:val="Normal"/>
        <w:pBdr/>
        <w:tabs>
          <w:tab w:val="clear" w:pos="720"/>
          <w:tab w:val="left" w:pos="567" w:leader="none"/>
        </w:tabs>
        <w:spacing w:lineRule="auto" w:line="360" w:before="0" w:after="0"/>
        <w:ind w:left="0" w:hanging="2"/>
        <w:jc w:val="both"/>
        <w:rPr>
          <w:position w:val="0"/>
          <w:sz w:val="22"/>
          <w:vertAlign w:val="baseline"/>
        </w:rPr>
      </w:pPr>
      <w:r>
        <w:rPr>
          <w:rFonts w:eastAsia="Times New Roman" w:cs="Times New Roman" w:ascii="Times New Roman" w:hAnsi="Times New Roman"/>
          <w:i/>
          <w:color w:val="000000"/>
          <w:position w:val="0"/>
          <w:sz w:val="24"/>
          <w:sz w:val="24"/>
          <w:szCs w:val="24"/>
          <w:vertAlign w:val="baseline"/>
        </w:rPr>
        <w:tab/>
        <w:tab/>
      </w:r>
      <w:r>
        <w:rPr>
          <w:rFonts w:eastAsia="Times New Roman" w:cs="Times New Roman" w:ascii="Times New Roman" w:hAnsi="Times New Roman"/>
          <w:color w:val="000000"/>
          <w:position w:val="0"/>
          <w:sz w:val="24"/>
          <w:sz w:val="24"/>
          <w:szCs w:val="24"/>
          <w:vertAlign w:val="baseline"/>
        </w:rPr>
        <w:t xml:space="preserve">Све идеје, али и све промјене имају смисла и постају прихватљиве само уколико сви укључени у процесе имају удјела у њима. Нарочито се то односи на увођење иновативних процеса, који се у високошколским установама, нарочито примјењују и огледају у њиховим библиотекама и у наставно-научном процесу, те би посебну подршку требало да добију управо библиотеке, као његове полазне основе, у којима се преплићу нови технолошки сервиси, њихово коришћење и примјена, те људски фактор, као основа доброг протока информација. Оне функционишу на начин да би требало да буду центар размјене и прикупљања управо тих информација, али на високом научном и етичком нивоу. Етички ниво мора бити задовољен као предуслов коректности научног рада и истраживања, а огледа се прије свега у поштовању свих законских прописа и регулатива које дефинишу област ауторског права, али и на моралним принципима коректног цитирања научних текстова, поштовању туђег интелектуалног напора и фер коришћења већ утврђених научних информација.  </w:t>
      </w:r>
    </w:p>
    <w:p>
      <w:pPr>
        <w:pStyle w:val="Normal"/>
        <w:pBdr/>
        <w:tabs>
          <w:tab w:val="clear" w:pos="720"/>
          <w:tab w:val="left" w:pos="567" w:leader="none"/>
        </w:tabs>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Поштујући све наведено, а о чему највећим дијелом рачуна води управо библиотека и запослени у њој, самим тим и она постаје централно окружење у академској струци, те из тог разлога може бити драгоцјена за цјелокупно академско особље и студенте. Она би требало да буде стјециште свих потреба интелектуалног рада, нарочито у планирању и реализацији наставних програма, одлучивању о обогаћивању библиотечког фонда, увођењу иновативних техничко-информационих активности, размјене и одређивања релевантних информација, те упућивања студената на провјерене и валидне информације потребне за стицање нових знања и вјештина, али и информације о  предметима њиховог интересовања и истраживања. Дакле, одређена опрема и техничке могућности, те оспособљеност запослених помажу да знање буде доступно свима и коришћено на прави начин. Посебну подршку наставном процесу, библиотека савременог доба има у упућивању корисника на електронске ресурсе, и као подршка учења на даљину, које, иако нам се чини готово немогуће, има свој дуг развојни пут.</w:t>
      </w:r>
    </w:p>
    <w:p>
      <w:pPr>
        <w:pStyle w:val="Normal"/>
        <w:pBdr/>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 xml:space="preserve">Гутенберговим изумом штампе започињу процеси технолошке револуције, и управо у овом изуму налазимо зачетке данашњег учења на даљину. Иако се то чини помало чудно, Гутенбергов проналазак је омогућио штампање књига, њихово омасовљавање, а самим тим могућност учења на удаљености. Јер је на овај начин знање умножавано и транспортовано до крајњег корисника. Овај концепт до дан данас није напуштен, али 19. вијек и индустријска револуција, уз 21. вијек и високотехнолошку револуцију, еру дигитализације, интернета и информатичких наука, уз низ претрпљених трансформација, само олакшава и омогућава да се овај процес уз што мање улагање, максимално користи. </w:t>
      </w:r>
      <w:r>
        <w:rPr>
          <w:rFonts w:eastAsia="Times New Roman" w:cs="Times New Roman" w:ascii="Times New Roman" w:hAnsi="Times New Roman"/>
          <w:position w:val="0"/>
          <w:sz w:val="24"/>
          <w:sz w:val="24"/>
          <w:szCs w:val="24"/>
          <w:vertAlign w:val="baseline"/>
        </w:rPr>
        <w:t>Јер нове технологије мијењају али и олакшавају начине рада у свим друштвеним сферама.</w:t>
      </w:r>
    </w:p>
    <w:p>
      <w:pPr>
        <w:pStyle w:val="Normal"/>
        <w:pBdr/>
        <w:spacing w:lineRule="auto" w:line="360" w:before="0" w:after="0"/>
        <w:ind w:left="0" w:hanging="2"/>
        <w:jc w:val="both"/>
        <w:rPr>
          <w:position w:val="0"/>
          <w:sz w:val="22"/>
          <w:vertAlign w:val="baseline"/>
        </w:rPr>
      </w:pPr>
      <w:r>
        <w:rPr>
          <w:rFonts w:eastAsia="Times New Roman" w:cs="Times New Roman" w:ascii="Times New Roman" w:hAnsi="Times New Roman"/>
          <w:position w:val="0"/>
          <w:sz w:val="24"/>
          <w:sz w:val="24"/>
          <w:szCs w:val="24"/>
          <w:vertAlign w:val="baseline"/>
        </w:rPr>
        <w:tab/>
        <w:tab/>
        <w:t xml:space="preserve">“Утицај информационо-комуникационих технологија (ИКТ) на животе људи вишеструко превазилази њихов ефекат на раст продуктивности. Онe делују као вектор економског раста и развоја, али и далеко шире, као вектор трансформације друштва у целини. ИКТ могу побољшати приступ основним услугама и створити нове могућности за запошљавање. Оне имају значајан потенцијал за побољшање квалитета живота људи и да суштински промене начин на који они комуницирају међу собом”. (Недић, В, Цветиновић, Д, Деспотовић, Л, 2018) Самим тим и у високошколским установама и у библиотекама иновативни процеси су од великог значаја за институцију. Али ако се осврнемо само на библиотеке јасно нам је да свака високошколска библиотека мора да посједује одређени број научних и стручних публикација, те остале библиотечке грађе која је неопходна за бављење научном дјелатношћу и неопходна у образовном процесу, па су као та значајна карика библиотеке принуђене, да заједно с институцијама у чијем су саставу пролазе трансформативни пут, кроз утицај информационо-комуникационих технологија, те да путем иновативних процеса постану ИнДок центри, са широким дијапазоном грађе било конвенционалне, било у електронском облику, која може да задовољи потребе својих корисника, научних радника, предавача и студената. </w:t>
      </w:r>
    </w:p>
    <w:p>
      <w:pPr>
        <w:pStyle w:val="Normal"/>
        <w:pBdr/>
        <w:spacing w:lineRule="auto" w:line="360" w:before="0" w:after="0"/>
        <w:ind w:left="0" w:hanging="2"/>
        <w:jc w:val="both"/>
        <w:rPr>
          <w:position w:val="0"/>
          <w:sz w:val="22"/>
          <w:vertAlign w:val="baseline"/>
        </w:rPr>
      </w:pPr>
      <w:r>
        <w:rPr>
          <w:rFonts w:eastAsia="Times New Roman" w:cs="Times New Roman" w:ascii="Times New Roman" w:hAnsi="Times New Roman"/>
          <w:position w:val="0"/>
          <w:sz w:val="24"/>
          <w:sz w:val="24"/>
          <w:szCs w:val="24"/>
          <w:vertAlign w:val="baseline"/>
        </w:rPr>
        <w:tab/>
        <w:tab/>
        <w:t xml:space="preserve">“Систем заснован на знању који подразумева стратешки приступ иновацијама уз интензивну сарадњу ВШИ са екстерним стејкхолдерима, нове моделе организационих структура, иновативну организациону културу, континуирано усавршавање и развој запослених у ВШИ, као и веће учешће студената у одлучивању. -израда, која доприноси унапређењу иновативности и ефикасности високошколске установе као основе одрживог развоја.” (Златановић, Д, Николић, Ј, Неделко, З, 2020) У свему овоме, библиотеке су се </w:t>
      </w:r>
      <w:r>
        <w:rPr>
          <w:rFonts w:eastAsia="Times New Roman" w:cs="Times New Roman" w:ascii="Times New Roman" w:hAnsi="Times New Roman"/>
          <w:color w:val="000000"/>
          <w:position w:val="0"/>
          <w:sz w:val="24"/>
          <w:sz w:val="24"/>
          <w:szCs w:val="24"/>
          <w:vertAlign w:val="baseline"/>
        </w:rPr>
        <w:t>трансформисале и прилагођавале савременим трендовима, центре прикупљања и систематизовања информација, које ће уз најбољу могућу помоћ, библиотекари пласирати својим корисницима. Те трансформације нарочито се огледају у високошколским библиотекама, јер оне морају бити незаобилазан фактор у процесу знања, образовања и науке. Из тог разлога један од основних задатака високошколских библиотека је да кориснике науче да претраже информацију и да уче, те да осим традиционалних облика, користе електронске, дигиталне, виртуелне библиотеке 21. вијека, како смо претходно и навели.</w:t>
      </w:r>
    </w:p>
    <w:p>
      <w:pPr>
        <w:pStyle w:val="Normal"/>
        <w:pBdr/>
        <w:spacing w:lineRule="auto" w:line="240" w:before="0" w:after="0"/>
        <w:ind w:left="0" w:hanging="2"/>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pBdr/>
        <w:spacing w:lineRule="auto" w:line="360" w:before="0" w:after="0"/>
        <w:ind w:left="562" w:right="562" w:hanging="0"/>
        <w:jc w:val="both"/>
        <w:rPr>
          <w:position w:val="0"/>
          <w:sz w:val="22"/>
          <w:vertAlign w:val="baseline"/>
        </w:rPr>
      </w:pPr>
      <w:r>
        <w:rPr>
          <w:rFonts w:eastAsia="Times New Roman" w:cs="Times New Roman" w:ascii="Times New Roman" w:hAnsi="Times New Roman"/>
          <w:i/>
          <w:color w:val="000000"/>
          <w:position w:val="0"/>
          <w:sz w:val="24"/>
          <w:sz w:val="24"/>
          <w:szCs w:val="24"/>
          <w:vertAlign w:val="baseline"/>
          <w:lang w:val="en-US"/>
        </w:rPr>
        <w:t>С</w:t>
      </w:r>
      <w:r>
        <w:rPr>
          <w:rFonts w:eastAsia="Times New Roman" w:cs="Times New Roman" w:ascii="Times New Roman" w:hAnsi="Times New Roman"/>
          <w:i/>
          <w:color w:val="000000"/>
          <w:position w:val="0"/>
          <w:sz w:val="24"/>
          <w:sz w:val="24"/>
          <w:szCs w:val="24"/>
          <w:vertAlign w:val="baseline"/>
        </w:rPr>
        <w:t>а укључивањем нових медија у фондове библиотека јавила се потреба за усаглашавањем терминологије, па су употребљавани појмови медијатека, фонотека, фототека, чак и хибридотека. Сличном процесу и данас присуствујемо у енглеском језику, у коме синтагму ,,teaching library“ у стопу прати израз „teaching cybray“, тренутно непреводив на српски, који означава и наставу за коришћење информационе технологије, и употребу информационе технологије у настави. Не само терминолошки, већ и суштински, овај процес започет је на University of Southern California 1994. године, пратећи и новом расподелом простора другачији приступ схватању улоге библиотеке. Наиме, простор у коме се може остваривати међусобна комуникација студената, наставног и библиотечког особља уз помоћ савремене компјутерске опреме, најновијег софтвера и особља за техничку подршку, два пута је већи од магацинског простора библиотеке. Све то делује подстицајно на увођење иновација у саму наставу, те библиотека служи као експериментални полигон.</w:t>
      </w:r>
      <w:r>
        <w:rPr>
          <w:rFonts w:eastAsia="Times New Roman" w:cs="Times New Roman" w:ascii="Times New Roman" w:hAnsi="Times New Roman"/>
          <w:i/>
          <w:color w:val="000000"/>
          <w:position w:val="0"/>
          <w:sz w:val="24"/>
          <w:sz w:val="24"/>
          <w:szCs w:val="24"/>
          <w:vertAlign w:val="baseline"/>
          <w:lang w:val="en-US"/>
        </w:rPr>
        <w:t xml:space="preserve"> </w:t>
      </w:r>
      <w:r>
        <w:rPr>
          <w:rFonts w:eastAsia="Times New Roman" w:cs="Times New Roman" w:ascii="Times New Roman" w:hAnsi="Times New Roman"/>
          <w:color w:val="000000"/>
          <w:position w:val="0"/>
          <w:sz w:val="24"/>
          <w:sz w:val="24"/>
          <w:szCs w:val="24"/>
          <w:vertAlign w:val="baseline"/>
        </w:rPr>
        <w:t>(Вранеш, Александра, 2004. 222, 223)</w:t>
      </w:r>
    </w:p>
    <w:p>
      <w:pPr>
        <w:pStyle w:val="Normal"/>
        <w:pBdr/>
        <w:spacing w:lineRule="auto" w:line="240" w:before="0" w:after="0"/>
        <w:ind w:left="0" w:right="567" w:hanging="2"/>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pBdr/>
        <w:tabs>
          <w:tab w:val="clear" w:pos="720"/>
          <w:tab w:val="left" w:pos="567" w:leader="none"/>
        </w:tabs>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 xml:space="preserve">Самим тим, иновације у академској библиотеци се огледају прије свега у омасовљавању информација доступних преко глобалне мреже, али и дигитализацијом грађе коју посједује библиотека и њеним постављањем у виртуелни простор. То значи да библиотека користи ресусрсе других библиотека, а своје ресурсе ставља на располагање другима. Ово је прије свега видљиво  у  сврсисходном организовању конзорцијума библиотека, које кроз удруживање и омогућавају приступ заинтересованим корисницима, којима је на овај начин олакшано претраживање информација у скупим базама података као што су IDEAL (International Digital Electronic Access Library), EBSCO који у својој бази располаже великим бројем часописа, Томпсон апстрактно-цитатна база,  и слично. </w:t>
        <w:tab/>
      </w:r>
    </w:p>
    <w:p>
      <w:pPr>
        <w:pStyle w:val="Normal"/>
        <w:pBdr/>
        <w:tabs>
          <w:tab w:val="clear" w:pos="720"/>
          <w:tab w:val="left" w:pos="567" w:leader="none"/>
        </w:tabs>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 xml:space="preserve">Процес удруживања библиотека има своју историју и започет је још 1967. године када је организован OCLC (Online Computer Library Center), затим центар за организацију веб страница и других дигиталних извора CORC (Collaborative Online Resource Catalogue), а седамдесетих година прошлог вијека креирани су RLG (Research Library Group) и RLIN ( Research Library Information Network). Године 1997. формиран је и нови библиотечки конзорцијум, глобалног нивоа, који је имао исте циљеве као и његови претходници, ICOLC (International Coalition of Library Consortia). </w:t>
      </w:r>
    </w:p>
    <w:p>
      <w:pPr>
        <w:pStyle w:val="Normal"/>
        <w:pBdr/>
        <w:tabs>
          <w:tab w:val="clear" w:pos="720"/>
          <w:tab w:val="left" w:pos="567" w:leader="none"/>
        </w:tabs>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Овакве платформе и на овај начин осмишљење библиотеке, осим простора омеђеног зидовима, излазе у виртуелни простор, и на тај начин омогућавају размјену информација на глобалном нивоу.</w:t>
      </w:r>
    </w:p>
    <w:p>
      <w:pPr>
        <w:pStyle w:val="Normal"/>
        <w:pBdr/>
        <w:tabs>
          <w:tab w:val="clear" w:pos="720"/>
          <w:tab w:val="left" w:pos="567" w:leader="none"/>
        </w:tabs>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Сви ови конзорцијуми и удруживања информација су иновативни процеси савременог доба, који на глобалном нивоу “уместо понуде непроверених и краткотрајних информација са интернета, пласирају поуздане, прихваћене вредноване текстове, чијим ишчитавањем је могуће упутити се у свет знања”. (Вранеш, А, 2004, 223).</w:t>
      </w:r>
    </w:p>
    <w:p>
      <w:pPr>
        <w:pStyle w:val="Normal"/>
        <w:pBdr/>
        <w:spacing w:lineRule="auto" w:line="240" w:before="0" w:after="0"/>
        <w:ind w:left="0" w:hanging="2"/>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pBdr/>
        <w:spacing w:lineRule="auto" w:line="240" w:before="0" w:after="0"/>
        <w:ind w:left="0" w:hanging="2"/>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pBdr/>
        <w:spacing w:lineRule="auto" w:line="240" w:before="0" w:after="0"/>
        <w:ind w:left="0" w:hanging="2"/>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pBdr/>
        <w:spacing w:lineRule="auto" w:line="240" w:before="0" w:after="0"/>
        <w:ind w:left="0" w:hanging="2"/>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pBdr/>
        <w:spacing w:lineRule="auto" w:line="240" w:before="0" w:after="0"/>
        <w:ind w:left="0" w:hanging="2"/>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r>
        <w:br w:type="page"/>
      </w:r>
    </w:p>
    <w:p>
      <w:pPr>
        <w:pStyle w:val="Normal"/>
        <w:pBdr/>
        <w:spacing w:lineRule="auto" w:line="240" w:before="0" w:after="280"/>
        <w:ind w:left="0" w:hanging="2"/>
        <w:jc w:val="center"/>
        <w:rPr>
          <w:position w:val="0"/>
          <w:sz w:val="28"/>
          <w:sz w:val="28"/>
          <w:szCs w:val="28"/>
          <w:vertAlign w:val="baseline"/>
        </w:rPr>
      </w:pPr>
      <w:r>
        <w:rPr>
          <w:rFonts w:eastAsia="Times New Roman" w:cs="Times New Roman" w:ascii="Times New Roman" w:hAnsi="Times New Roman"/>
          <w:i/>
          <w:color w:val="000000"/>
          <w:position w:val="0"/>
          <w:sz w:val="28"/>
          <w:sz w:val="28"/>
          <w:szCs w:val="28"/>
          <w:vertAlign w:val="baseline"/>
        </w:rPr>
        <w:t>РЕЗИМЕ</w:t>
      </w:r>
    </w:p>
    <w:p>
      <w:pPr>
        <w:pStyle w:val="Normal"/>
        <w:pBdr/>
        <w:spacing w:lineRule="auto" w:line="240" w:before="0" w:after="280"/>
        <w:ind w:left="0" w:hanging="2"/>
        <w:jc w:val="both"/>
        <w:rPr>
          <w:rFonts w:ascii="Times New Roman" w:hAnsi="Times New Roman" w:eastAsia="Times New Roman" w:cs="Times New Roman"/>
          <w:b/>
          <w:b/>
          <w:color w:val="000000"/>
          <w:position w:val="0"/>
          <w:sz w:val="24"/>
          <w:sz w:val="24"/>
          <w:szCs w:val="24"/>
          <w:vertAlign w:val="baseline"/>
        </w:rPr>
      </w:pPr>
      <w:r>
        <w:rPr>
          <w:rFonts w:eastAsia="Times New Roman" w:cs="Times New Roman" w:ascii="Times New Roman" w:hAnsi="Times New Roman"/>
          <w:b/>
          <w:color w:val="000000"/>
          <w:position w:val="0"/>
          <w:sz w:val="24"/>
          <w:sz w:val="24"/>
          <w:szCs w:val="24"/>
          <w:vertAlign w:val="baseline"/>
        </w:rPr>
      </w:r>
    </w:p>
    <w:p>
      <w:pPr>
        <w:pStyle w:val="Normal"/>
        <w:pBdr/>
        <w:spacing w:lineRule="auto" w:line="240" w:before="0" w:after="280"/>
        <w:ind w:left="0" w:hanging="2"/>
        <w:jc w:val="both"/>
        <w:rPr>
          <w:rFonts w:ascii="Times New Roman" w:hAnsi="Times New Roman" w:eastAsia="Times New Roman" w:cs="Times New Roman"/>
          <w:b/>
          <w:b/>
          <w:color w:val="000000"/>
          <w:position w:val="0"/>
          <w:sz w:val="24"/>
          <w:sz w:val="24"/>
          <w:szCs w:val="24"/>
          <w:vertAlign w:val="baseline"/>
        </w:rPr>
      </w:pPr>
      <w:r>
        <w:rPr>
          <w:rFonts w:eastAsia="Times New Roman" w:cs="Times New Roman" w:ascii="Times New Roman" w:hAnsi="Times New Roman"/>
          <w:b/>
          <w:color w:val="000000"/>
          <w:position w:val="0"/>
          <w:sz w:val="24"/>
          <w:sz w:val="24"/>
          <w:szCs w:val="24"/>
          <w:vertAlign w:val="baseline"/>
        </w:rPr>
      </w:r>
    </w:p>
    <w:p>
      <w:pPr>
        <w:pStyle w:val="Normal"/>
        <w:pBdr/>
        <w:tabs>
          <w:tab w:val="clear" w:pos="720"/>
          <w:tab w:val="left" w:pos="567" w:leader="none"/>
        </w:tabs>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Савремено доба, ера дигитализације, информатичка ера, или данас популарно названа „New Age“ ера, донијела нам је низ промјена које су се дешавале убрзано, које су биле тешко прихватане, али које су захватиле све поре друштвеног дјеловања. Како би се максимално искористили позитивни ефекти иновација, особље запослено у свим организацијама било је принуђено и данас је, упућено на перманентно образовање, да би било кадро да одговори савременим начинима рада. Кроз призму иновација сагледавамо све друштвене процесе и односе, а њиховом примјеном долазимо до олакшавања процеса рада и конкурентске предности на пољу дјеловања. Ови процеси нису заобишли ни високошколске институције, као најосјетљивијег дијела људске дјелатности, јер управо су оне, иницијална каписла људског развоја, развоја знања, а самим тим и боље будућности. Руководство ових установа има велики задатак да користећи сва знања и вјештине савременог менаџмента, добром стратегијом и организацијом правовремено одговори на све изазове и промјене које се дешавају. Будући да је оваква институција спој одјељења који интерактивно дјелују и чије је дјеловање иако  наизглед различито, међусобно уско повезано, то је и добра организација људског ресурса, један од задатака руководства установе. Тако да, увођењем иновација у ове установе које се огледају нпр. у организовању наставе на даљину, уско повезану с функционисањем наставног особља, које мора бити спремно да одговори овом задатку, обучено да користи савремене технологије, те да добро влада начинима организовања научних информација. Из овог разлога смо упућени на чињеницу да је овај иновативни процес скоро па немогуће постићи и провести без усмјерености на библиотеку, која се налази у саставу високошколске установе и која може да да смијернице за обављање овог процеса, а које се огледају у људству, које је виспрено у свом раду и у могућности да да правовремене одговоре на постављене задатке. Библиотека академског нивоа мора да иде у корак с техничко-технолошким захтјевима, а библиотекари запослени у овим библиотекама морају бити спремни да користећи све благодети савременог пословања дају и пруже правовремене и провјерене информације, те да упуте на базе података које су организоване на глобалном нивоу, а то може само уколико иновативно приступају пословању. Удружујући се у конзорцијуме, оне омогућавају да информације буду доступне свима, а кроз њих и знање, што је свакако основни циљ образовног и научног процеса. Такође, пратећи процес дигитализације оне омогућавају и да информације које оне посједују буду доступне ширем кругу корисника, а упућивањем на принцип етичности, презентују фер и коректно искоришћавање досадашњих стечених знања, која се користе за стицање нових. Из тог разлога сви актери овог процеса морају дјеловати синхронизовано, једни друге подржавати, иновативно размишљати, те тежити промјенама.</w:t>
      </w:r>
    </w:p>
    <w:p>
      <w:pPr>
        <w:pStyle w:val="Normal"/>
        <w:pBdr/>
        <w:spacing w:lineRule="auto" w:line="360" w:before="0" w:after="0"/>
        <w:ind w:left="0" w:hanging="2"/>
        <w:jc w:val="both"/>
        <w:rPr>
          <w:position w:val="0"/>
          <w:sz w:val="22"/>
          <w:vertAlign w:val="baseline"/>
        </w:rPr>
      </w:pPr>
      <w:r>
        <w:rPr>
          <w:rFonts w:eastAsia="Times New Roman" w:cs="Times New Roman" w:ascii="Times New Roman" w:hAnsi="Times New Roman"/>
          <w:color w:val="000000"/>
          <w:position w:val="0"/>
          <w:sz w:val="24"/>
          <w:sz w:val="24"/>
          <w:szCs w:val="24"/>
          <w:vertAlign w:val="baseline"/>
        </w:rPr>
        <w:tab/>
        <w:tab/>
        <w:t>Стога можемо закључити да организације знања засноване на знању су сврха и циљ будућег развоја друштвене заједнице. А да овај циљ постигнемо, морамо ићи у корак са свим благодетима које нам стоје на располагању.</w:t>
      </w:r>
      <w:r>
        <w:br w:type="page"/>
      </w:r>
    </w:p>
    <w:p>
      <w:pPr>
        <w:pStyle w:val="Normal"/>
        <w:spacing w:lineRule="auto" w:line="240" w:before="0" w:after="280"/>
        <w:ind w:left="0" w:hanging="2"/>
        <w:rPr>
          <w:position w:val="0"/>
          <w:sz w:val="28"/>
          <w:sz w:val="28"/>
          <w:szCs w:val="28"/>
          <w:vertAlign w:val="baseline"/>
        </w:rPr>
      </w:pPr>
      <w:r>
        <w:rPr>
          <w:rFonts w:eastAsia="Times New Roman" w:cs="Times New Roman" w:ascii="Times New Roman" w:hAnsi="Times New Roman"/>
          <w:position w:val="0"/>
          <w:sz w:val="28"/>
          <w:sz w:val="28"/>
          <w:szCs w:val="28"/>
          <w:vertAlign w:val="baseline"/>
        </w:rPr>
        <w:t>ЛИТЕРАТУРА</w:t>
      </w:r>
    </w:p>
    <w:p>
      <w:pPr>
        <w:pStyle w:val="Normal"/>
        <w:spacing w:lineRule="auto" w:line="240" w:before="0" w:after="280"/>
        <w:ind w:left="0" w:hanging="2"/>
        <w:rPr>
          <w:rFonts w:ascii="Times New Roman" w:hAnsi="Times New Roman" w:eastAsia="Times New Roman" w:cs="Times New Roman"/>
          <w:position w:val="0"/>
          <w:sz w:val="24"/>
          <w:sz w:val="24"/>
          <w:szCs w:val="24"/>
          <w:vertAlign w:val="baseline"/>
        </w:rPr>
      </w:pPr>
      <w:r>
        <w:rPr>
          <w:rFonts w:eastAsia="Times New Roman" w:cs="Times New Roman" w:ascii="Times New Roman" w:hAnsi="Times New Roman"/>
          <w:position w:val="0"/>
          <w:sz w:val="24"/>
          <w:sz w:val="24"/>
          <w:szCs w:val="24"/>
          <w:vertAlign w:val="baseline"/>
        </w:rPr>
      </w:r>
    </w:p>
    <w:p>
      <w:pPr>
        <w:pStyle w:val="Normal"/>
        <w:spacing w:lineRule="auto" w:line="240" w:before="0" w:after="280"/>
        <w:ind w:left="0" w:hanging="2"/>
        <w:rPr>
          <w:position w:val="0"/>
          <w:sz w:val="22"/>
          <w:vertAlign w:val="baseline"/>
        </w:rPr>
      </w:pPr>
      <w:r>
        <w:rPr>
          <w:rFonts w:eastAsia="Times New Roman" w:cs="Times New Roman" w:ascii="Times New Roman" w:hAnsi="Times New Roman"/>
          <w:position w:val="0"/>
          <w:sz w:val="24"/>
          <w:sz w:val="24"/>
          <w:szCs w:val="24"/>
          <w:vertAlign w:val="baseline"/>
        </w:rPr>
        <w:t>1.</w:t>
        <w:tab/>
        <w:t xml:space="preserve">Ansoff, I., McDonnell, E. (1990). Impanting Strategic Management. London: Prentice Hall. </w:t>
      </w:r>
    </w:p>
    <w:p>
      <w:pPr>
        <w:pStyle w:val="Normal"/>
        <w:spacing w:lineRule="auto" w:line="240" w:before="0" w:after="280"/>
        <w:ind w:left="0" w:hanging="2"/>
        <w:rPr>
          <w:position w:val="0"/>
          <w:sz w:val="22"/>
          <w:vertAlign w:val="baseline"/>
        </w:rPr>
      </w:pPr>
      <w:r>
        <w:rPr>
          <w:rFonts w:eastAsia="Times New Roman" w:cs="Times New Roman" w:ascii="Times New Roman" w:hAnsi="Times New Roman"/>
          <w:position w:val="0"/>
          <w:sz w:val="24"/>
          <w:sz w:val="24"/>
          <w:szCs w:val="24"/>
          <w:vertAlign w:val="baseline"/>
        </w:rPr>
        <w:t>2.</w:t>
        <w:tab/>
        <w:t>Дракер, П. (2004). Из дана у дан. Нови Сад: Адижес,</w:t>
      </w:r>
    </w:p>
    <w:p>
      <w:pPr>
        <w:pStyle w:val="Normal"/>
        <w:spacing w:lineRule="auto" w:line="240" w:before="0" w:after="280"/>
        <w:ind w:left="0" w:hanging="2"/>
        <w:rPr>
          <w:position w:val="0"/>
          <w:sz w:val="22"/>
          <w:vertAlign w:val="baseline"/>
        </w:rPr>
      </w:pPr>
      <w:r>
        <w:rPr>
          <w:rFonts w:eastAsia="Times New Roman" w:cs="Times New Roman" w:ascii="Times New Roman" w:hAnsi="Times New Roman"/>
          <w:position w:val="0"/>
          <w:sz w:val="24"/>
          <w:sz w:val="24"/>
          <w:szCs w:val="24"/>
          <w:vertAlign w:val="baseline"/>
        </w:rPr>
        <w:t>4.</w:t>
        <w:tab/>
        <w:t>Ladin G. (2015). Upravljanje inovacijama kao strategijski faktor razvoja marketing menadžmenta u visokom obrazovanju Republike Srpske, doktorksa disertacija. Banja Luka.</w:t>
      </w:r>
    </w:p>
    <w:p>
      <w:pPr>
        <w:pStyle w:val="Normal"/>
        <w:spacing w:lineRule="auto" w:line="240" w:before="0" w:after="280"/>
        <w:ind w:left="0" w:hanging="2"/>
        <w:rPr>
          <w:position w:val="0"/>
          <w:sz w:val="22"/>
          <w:vertAlign w:val="baseline"/>
        </w:rPr>
      </w:pPr>
      <w:r>
        <w:rPr>
          <w:rFonts w:eastAsia="Times New Roman" w:cs="Times New Roman" w:ascii="Times New Roman" w:hAnsi="Times New Roman"/>
          <w:position w:val="0"/>
          <w:sz w:val="24"/>
          <w:sz w:val="24"/>
          <w:szCs w:val="24"/>
          <w:vertAlign w:val="baseline"/>
        </w:rPr>
        <w:t>5.</w:t>
        <w:tab/>
        <w:t>Maringe, F., Gibbs, P. (2009). Marketing Higher Education, Theory and Practice. England: McGraw Hill.</w:t>
      </w:r>
    </w:p>
    <w:p>
      <w:pPr>
        <w:pStyle w:val="Normal"/>
        <w:spacing w:lineRule="auto" w:line="240" w:before="0" w:after="280"/>
        <w:ind w:left="0" w:hanging="2"/>
        <w:rPr>
          <w:position w:val="0"/>
          <w:sz w:val="22"/>
          <w:vertAlign w:val="baseline"/>
        </w:rPr>
      </w:pPr>
      <w:r>
        <w:rPr>
          <w:rFonts w:eastAsia="Times New Roman" w:cs="Times New Roman" w:ascii="Times New Roman" w:hAnsi="Times New Roman"/>
          <w:position w:val="0"/>
          <w:sz w:val="24"/>
          <w:sz w:val="24"/>
          <w:szCs w:val="24"/>
          <w:vertAlign w:val="baseline"/>
        </w:rPr>
        <w:t>6.</w:t>
        <w:tab/>
        <w:t>Porter, M., (1992). Competitive Advantage of Nations. London: MacMillan Press.</w:t>
      </w:r>
    </w:p>
    <w:p>
      <w:pPr>
        <w:pStyle w:val="Normal"/>
        <w:spacing w:lineRule="auto" w:line="240" w:before="0" w:after="280"/>
        <w:ind w:left="0" w:hanging="2"/>
        <w:rPr>
          <w:position w:val="0"/>
          <w:sz w:val="22"/>
          <w:vertAlign w:val="baseline"/>
        </w:rPr>
      </w:pPr>
      <w:r>
        <w:rPr>
          <w:rFonts w:eastAsia="Times New Roman" w:cs="Times New Roman" w:ascii="Times New Roman" w:hAnsi="Times New Roman"/>
          <w:position w:val="0"/>
          <w:sz w:val="24"/>
          <w:sz w:val="24"/>
          <w:szCs w:val="24"/>
          <w:vertAlign w:val="baseline"/>
        </w:rPr>
        <w:t>7.</w:t>
        <w:tab/>
        <w:t xml:space="preserve">Karavidić, S. O. (2006). Menadžment obrazovanja. Beograd: IPA Filozofski fakultet. </w:t>
      </w:r>
    </w:p>
    <w:p>
      <w:pPr>
        <w:pStyle w:val="Normal"/>
        <w:spacing w:lineRule="auto" w:line="240" w:before="0" w:after="280"/>
        <w:ind w:left="0" w:hanging="2"/>
        <w:rPr>
          <w:position w:val="0"/>
          <w:sz w:val="22"/>
          <w:vertAlign w:val="baseline"/>
        </w:rPr>
      </w:pPr>
      <w:r>
        <w:rPr>
          <w:rFonts w:eastAsia="Times New Roman" w:cs="Times New Roman" w:ascii="Times New Roman" w:hAnsi="Times New Roman"/>
          <w:position w:val="0"/>
          <w:sz w:val="24"/>
          <w:sz w:val="24"/>
          <w:szCs w:val="24"/>
          <w:vertAlign w:val="baseline"/>
        </w:rPr>
        <w:t>8.</w:t>
        <w:tab/>
        <w:t>Schumpeter, J. A. (1981). Kapitalizam, socijalizam i demokracija. Zagreb: Globus</w:t>
      </w:r>
    </w:p>
    <w:p>
      <w:pPr>
        <w:pStyle w:val="Normal"/>
        <w:spacing w:lineRule="auto" w:line="240" w:before="0" w:after="280"/>
        <w:ind w:left="0" w:hanging="2"/>
        <w:rPr>
          <w:position w:val="0"/>
          <w:sz w:val="22"/>
          <w:vertAlign w:val="baseline"/>
        </w:rPr>
      </w:pPr>
      <w:r>
        <w:rPr>
          <w:rFonts w:eastAsia="Times New Roman" w:cs="Times New Roman" w:ascii="Times New Roman" w:hAnsi="Times New Roman"/>
          <w:position w:val="0"/>
          <w:sz w:val="24"/>
          <w:sz w:val="24"/>
          <w:szCs w:val="24"/>
          <w:vertAlign w:val="baseline"/>
        </w:rPr>
        <w:t>9.</w:t>
        <w:tab/>
        <w:t xml:space="preserve">Trott, P. (2005). Innovation Management and New Product Development, London: Prentice Hall. </w:t>
      </w:r>
    </w:p>
    <w:p>
      <w:pPr>
        <w:pStyle w:val="Normal"/>
        <w:spacing w:lineRule="auto" w:line="240" w:before="0" w:after="280"/>
        <w:ind w:left="0" w:hanging="2"/>
        <w:rPr>
          <w:position w:val="0"/>
          <w:sz w:val="22"/>
          <w:vertAlign w:val="baseline"/>
        </w:rPr>
      </w:pPr>
      <w:r>
        <w:rPr>
          <w:rFonts w:eastAsia="Times New Roman" w:cs="Times New Roman" w:ascii="Times New Roman" w:hAnsi="Times New Roman"/>
          <w:position w:val="0"/>
          <w:sz w:val="24"/>
          <w:sz w:val="24"/>
          <w:szCs w:val="24"/>
          <w:vertAlign w:val="baseline"/>
        </w:rPr>
        <w:t>10.</w:t>
        <w:tab/>
        <w:t>Williams, K, McGuire, J. (2010). Economic creativity and innovation implementation: the entrepreneurial drivers of growth? Evidence from 63 countries. Heildeberg: Springer Science Business Media, Working Papers.</w:t>
      </w:r>
    </w:p>
    <w:p>
      <w:pPr>
        <w:pStyle w:val="Normal"/>
        <w:spacing w:lineRule="auto" w:line="240" w:before="0" w:after="280"/>
        <w:ind w:left="0" w:hanging="2"/>
        <w:rPr>
          <w:position w:val="0"/>
          <w:sz w:val="22"/>
          <w:vertAlign w:val="baseline"/>
        </w:rPr>
      </w:pPr>
      <w:r>
        <w:rPr>
          <w:rFonts w:eastAsia="Times New Roman" w:cs="Times New Roman" w:ascii="Times New Roman" w:hAnsi="Times New Roman"/>
          <w:position w:val="0"/>
          <w:sz w:val="24"/>
          <w:sz w:val="24"/>
          <w:szCs w:val="24"/>
          <w:vertAlign w:val="baseline"/>
        </w:rPr>
        <w:t xml:space="preserve">11. </w:t>
        <w:tab/>
        <w:t xml:space="preserve">Heinritz, F. J. (1975). Modern Scientific Management in the Academic Library.College and Research Libraries. 1. 3, 16 New Haven; Southern Connecticut State College. </w:t>
      </w:r>
    </w:p>
    <w:p>
      <w:pPr>
        <w:pStyle w:val="Normal"/>
        <w:spacing w:lineRule="auto" w:line="240" w:before="0" w:after="280"/>
        <w:ind w:left="0" w:hanging="2"/>
        <w:rPr>
          <w:position w:val="0"/>
          <w:sz w:val="22"/>
          <w:vertAlign w:val="baseline"/>
        </w:rPr>
      </w:pPr>
      <w:r>
        <w:rPr>
          <w:rFonts w:eastAsia="Times New Roman" w:cs="Times New Roman" w:ascii="Times New Roman" w:hAnsi="Times New Roman"/>
          <w:position w:val="0"/>
          <w:sz w:val="24"/>
          <w:sz w:val="24"/>
          <w:szCs w:val="24"/>
          <w:vertAlign w:val="baseline"/>
        </w:rPr>
        <w:t xml:space="preserve">12. </w:t>
        <w:tab/>
        <w:t xml:space="preserve">Heinritz, Fred J. (1995). Scientific management of library operations,  Lanham: Scarecrow Press. </w:t>
      </w:r>
    </w:p>
    <w:p>
      <w:pPr>
        <w:pStyle w:val="Normal"/>
        <w:spacing w:lineRule="auto" w:line="240" w:before="0" w:after="280"/>
        <w:ind w:left="0" w:hanging="2"/>
        <w:rPr>
          <w:position w:val="0"/>
          <w:sz w:val="22"/>
          <w:vertAlign w:val="baseline"/>
        </w:rPr>
      </w:pPr>
      <w:r>
        <w:rPr>
          <w:rFonts w:eastAsia="Times New Roman" w:cs="Times New Roman" w:ascii="Times New Roman" w:hAnsi="Times New Roman"/>
          <w:position w:val="0"/>
          <w:sz w:val="24"/>
          <w:sz w:val="24"/>
          <w:szCs w:val="24"/>
          <w:vertAlign w:val="baseline"/>
        </w:rPr>
        <w:t>13.</w:t>
        <w:tab/>
        <w:t>Vraneš, A. (2004). Visokoškolske biblioteke. Beogra: Univerzitetska bibilioteka Svetozar Marković.</w:t>
      </w:r>
    </w:p>
    <w:p>
      <w:pPr>
        <w:pStyle w:val="Normal"/>
        <w:spacing w:lineRule="auto" w:line="240" w:before="0" w:after="280"/>
        <w:ind w:left="0" w:hanging="2"/>
        <w:rPr>
          <w:position w:val="0"/>
          <w:sz w:val="22"/>
          <w:vertAlign w:val="baseline"/>
        </w:rPr>
      </w:pPr>
      <w:r>
        <w:rPr>
          <w:rFonts w:eastAsia="Times New Roman" w:cs="Times New Roman" w:ascii="Times New Roman" w:hAnsi="Times New Roman"/>
          <w:position w:val="0"/>
          <w:sz w:val="24"/>
          <w:sz w:val="24"/>
          <w:szCs w:val="24"/>
          <w:vertAlign w:val="baseline"/>
        </w:rPr>
        <w:t>14. Недић, В, Цветиновић, Д, Деспотовић, Л. (2018). Неки показатељи развијености иновационог система Републике Србије и земаља окружења. Теме, 2, 459-483.</w:t>
      </w:r>
    </w:p>
    <w:p>
      <w:pPr>
        <w:pStyle w:val="Normal"/>
        <w:spacing w:lineRule="auto" w:line="240" w:before="0" w:after="280"/>
        <w:ind w:left="0" w:hanging="2"/>
        <w:rPr>
          <w:position w:val="0"/>
          <w:sz w:val="22"/>
          <w:vertAlign w:val="baseline"/>
        </w:rPr>
      </w:pPr>
      <w:r>
        <w:rPr>
          <w:rFonts w:eastAsia="Times New Roman" w:cs="Times New Roman" w:ascii="Times New Roman" w:hAnsi="Times New Roman"/>
          <w:position w:val="0"/>
          <w:sz w:val="24"/>
          <w:sz w:val="24"/>
          <w:szCs w:val="24"/>
          <w:vertAlign w:val="baseline"/>
        </w:rPr>
        <w:t xml:space="preserve">15. Златановић, Д, Николић, Ј, Неделко З, (2020). Системски прилаз унапређењу иновативности у Високом образовању. Теме, 2,  441-460. </w:t>
      </w:r>
    </w:p>
    <w:p>
      <w:pPr>
        <w:pStyle w:val="Normal"/>
        <w:spacing w:lineRule="auto" w:line="240" w:before="0" w:after="280"/>
        <w:ind w:left="0" w:hanging="2"/>
        <w:rPr>
          <w:position w:val="0"/>
          <w:sz w:val="22"/>
          <w:vertAlign w:val="baseline"/>
        </w:rPr>
      </w:pPr>
      <w:r>
        <w:rPr>
          <w:rFonts w:eastAsia="Times New Roman" w:cs="Times New Roman" w:ascii="Times New Roman" w:hAnsi="Times New Roman"/>
          <w:position w:val="0"/>
          <w:sz w:val="24"/>
          <w:sz w:val="24"/>
          <w:szCs w:val="24"/>
          <w:vertAlign w:val="baseline"/>
        </w:rPr>
        <w:t xml:space="preserve">16 </w:t>
      </w:r>
      <w:r>
        <w:rPr>
          <w:rFonts w:eastAsia="Times" w:cs="Times" w:ascii="Times" w:hAnsi="Times"/>
          <w:position w:val="0"/>
          <w:sz w:val="24"/>
          <w:sz w:val="24"/>
          <w:szCs w:val="24"/>
          <w:vertAlign w:val="baseline"/>
        </w:rPr>
        <w:t>Yadin, A. (2013). Soft Systems Methodology in an EducationalContext—Enhancing  Students Perception and Understanding. International Journal of e-Education, e Business, e-Management and e-Learning, 3 (5), 351-356.DOI: 10.7763/IJEEEE. 2013.V3.25.</w:t>
      </w:r>
    </w:p>
    <w:p>
      <w:pPr>
        <w:pStyle w:val="Normal"/>
        <w:spacing w:lineRule="auto" w:line="240" w:before="0" w:after="280"/>
        <w:ind w:left="0" w:hanging="2"/>
        <w:rPr>
          <w:position w:val="0"/>
          <w:sz w:val="22"/>
          <w:vertAlign w:val="baseline"/>
        </w:rPr>
      </w:pPr>
      <w:r>
        <w:rPr>
          <w:rFonts w:eastAsia="Times" w:cs="Times" w:ascii="Times" w:hAnsi="Times"/>
          <w:position w:val="0"/>
          <w:sz w:val="24"/>
          <w:sz w:val="24"/>
          <w:szCs w:val="24"/>
          <w:vertAlign w:val="baseline"/>
        </w:rPr>
        <w:t>17. Tierney, W.G. and Lanford, M. (2016b). Conceptualizing Innovation in Higher  Education. In: Paulsen, M. (ed.) Higher Education: Handbook of Theory and  Research (pp.1-32), Vol. 31, Springer.</w:t>
      </w:r>
    </w:p>
    <w:p>
      <w:pPr>
        <w:pStyle w:val="Normal"/>
        <w:spacing w:lineRule="auto" w:line="240" w:before="0" w:after="280"/>
        <w:ind w:left="0" w:hanging="2"/>
        <w:rPr>
          <w:position w:val="0"/>
          <w:sz w:val="22"/>
          <w:vertAlign w:val="baseline"/>
        </w:rPr>
      </w:pPr>
      <w:r>
        <w:rPr>
          <w:rFonts w:eastAsia="Times" w:cs="Times" w:ascii="Times" w:hAnsi="Times"/>
          <w:position w:val="0"/>
          <w:sz w:val="24"/>
          <w:sz w:val="24"/>
          <w:szCs w:val="24"/>
          <w:vertAlign w:val="baseline"/>
        </w:rPr>
        <w:t xml:space="preserve">18. </w:t>
      </w:r>
      <w:r>
        <w:rPr>
          <w:rFonts w:eastAsia="Times New Roman" w:cs="Times New Roman" w:ascii="Times New Roman" w:hAnsi="Times New Roman"/>
          <w:position w:val="0"/>
          <w:sz w:val="24"/>
          <w:sz w:val="24"/>
          <w:szCs w:val="24"/>
          <w:vertAlign w:val="baseline"/>
        </w:rPr>
        <w:t xml:space="preserve">Lundvall, B. (1992). National system of innovation. Towards a theory of innovation  and Interactive learning. London: Pinter Publishers. </w:t>
      </w:r>
    </w:p>
    <w:p>
      <w:pPr>
        <w:pStyle w:val="Normal"/>
        <w:spacing w:lineRule="auto" w:line="240" w:before="0" w:after="280"/>
        <w:ind w:left="0" w:hanging="2"/>
        <w:rPr>
          <w:rFonts w:ascii="Times" w:hAnsi="Times" w:eastAsia="Times" w:cs="Times"/>
          <w:position w:val="0"/>
          <w:sz w:val="24"/>
          <w:sz w:val="24"/>
          <w:szCs w:val="24"/>
          <w:vertAlign w:val="baseline"/>
        </w:rPr>
      </w:pPr>
      <w:r>
        <w:rPr>
          <w:rFonts w:eastAsia="Times" w:cs="Times" w:ascii="Times" w:hAnsi="Times"/>
          <w:position w:val="0"/>
          <w:sz w:val="24"/>
          <w:sz w:val="24"/>
          <w:szCs w:val="24"/>
          <w:vertAlign w:val="baseline"/>
        </w:rPr>
      </w:r>
    </w:p>
    <w:p>
      <w:pPr>
        <w:pStyle w:val="Normal"/>
        <w:spacing w:lineRule="auto" w:line="240" w:before="0" w:after="280"/>
        <w:ind w:left="0" w:hanging="2"/>
        <w:rPr>
          <w:rFonts w:ascii="Times" w:hAnsi="Times" w:eastAsia="Times" w:cs="Times"/>
          <w:position w:val="0"/>
          <w:sz w:val="24"/>
          <w:sz w:val="24"/>
          <w:szCs w:val="24"/>
          <w:vertAlign w:val="baseline"/>
        </w:rPr>
      </w:pPr>
      <w:r>
        <w:rPr>
          <w:rFonts w:eastAsia="Times" w:cs="Times" w:ascii="Times" w:hAnsi="Times"/>
          <w:position w:val="0"/>
          <w:sz w:val="24"/>
          <w:sz w:val="24"/>
          <w:szCs w:val="24"/>
          <w:vertAlign w:val="baseline"/>
        </w:rPr>
      </w:r>
    </w:p>
    <w:p>
      <w:pPr>
        <w:pStyle w:val="Normal"/>
        <w:spacing w:lineRule="auto" w:line="240" w:before="0" w:after="280"/>
        <w:ind w:left="-2" w:hanging="0"/>
        <w:rPr>
          <w:rFonts w:ascii="Times New Roman" w:hAnsi="Times New Roman" w:eastAsia="Times New Roman" w:cs="Times New Roman"/>
          <w:position w:val="0"/>
          <w:sz w:val="24"/>
          <w:sz w:val="24"/>
          <w:szCs w:val="24"/>
          <w:vertAlign w:val="baseline"/>
        </w:rPr>
      </w:pPr>
      <w:r>
        <w:rPr>
          <w:rFonts w:eastAsia="Times New Roman" w:cs="Times New Roman" w:ascii="Times New Roman" w:hAnsi="Times New Roman"/>
          <w:position w:val="0"/>
          <w:sz w:val="24"/>
          <w:sz w:val="24"/>
          <w:szCs w:val="24"/>
          <w:vertAlign w:val="baseline"/>
        </w:rPr>
      </w:r>
    </w:p>
    <w:p>
      <w:pPr>
        <w:pStyle w:val="Normal"/>
        <w:spacing w:lineRule="auto" w:line="240" w:before="0" w:after="280"/>
        <w:ind w:left="0" w:hanging="0"/>
        <w:rPr>
          <w:position w:val="0"/>
          <w:sz w:val="22"/>
          <w:vertAlign w:val="baseline"/>
        </w:rPr>
      </w:pPr>
      <w:r>
        <w:rPr>
          <w:position w:val="0"/>
          <w:sz w:val="22"/>
          <w:vertAlign w:val="baseline"/>
        </w:rPr>
      </w:r>
    </w:p>
    <w:sectPr>
      <w:type w:val="nextPage"/>
      <w:pgSz w:w="11906" w:h="16838"/>
      <w:pgMar w:left="1417" w:right="1417" w:gutter="0" w:header="0" w:top="1417" w:footer="0" w:bottom="1417"/>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libri Light">
    <w:charset w:val="01"/>
    <w:family w:val="roman"/>
    <w:pitch w:val="variable"/>
  </w:font>
  <w:font w:name="OpenSymbol">
    <w:altName w:val="Arial Unicode MS"/>
    <w:charset w:val="02"/>
    <w:family w:val="auto"/>
    <w:pitch w:val="default"/>
  </w:font>
  <w:font w:name="Liberation Sans">
    <w:altName w:val="Arial"/>
    <w:charset w:val="01"/>
    <w:family w:val="roman"/>
    <w:pitch w:val="variable"/>
  </w:font>
  <w:font w:name="Georgia">
    <w:charset w:val="01"/>
    <w:family w:val="roman"/>
    <w:pitch w:val="variable"/>
  </w:font>
  <w:font w:name="Times">
    <w:altName w:val="Times New Roman"/>
    <w:charset w:val="01"/>
    <w:family w:val="roman"/>
    <w:pitch w:val="variable"/>
  </w:font>
  <w:font w:name="OpenSymbol">
    <w:altName w:val="Arial Unicode MS"/>
    <w:charset w:val="01"/>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nothing"/>
      <w:lvlText w:val="%1."/>
      <w:lvlJc w:val="left"/>
      <w:pPr>
        <w:tabs>
          <w:tab w:val="num" w:pos="0"/>
        </w:tabs>
        <w:ind w:left="1068" w:hanging="360"/>
      </w:pPr>
      <w:rPr>
        <w:vertAlign w:val="baseline"/>
        <w:position w:val="0"/>
        <w:sz w:val="28"/>
        <w:sz w:val="28"/>
        <w:szCs w:val="28"/>
        <w:rFonts w:ascii="Times New Roman" w:hAnsi="Times New Roman"/>
      </w:rPr>
    </w:lvl>
    <w:lvl w:ilvl="1">
      <w:start w:val="1"/>
      <w:numFmt w:val="lowerLetter"/>
      <w:lvlText w:val="%2."/>
      <w:lvlJc w:val="left"/>
      <w:pPr>
        <w:tabs>
          <w:tab w:val="num" w:pos="0"/>
        </w:tabs>
        <w:ind w:left="1788" w:hanging="360"/>
      </w:pPr>
      <w:rPr>
        <w:vertAlign w:val="baseline"/>
        <w:position w:val="0"/>
        <w:sz w:val="22"/>
      </w:rPr>
    </w:lvl>
    <w:lvl w:ilvl="2">
      <w:start w:val="1"/>
      <w:numFmt w:val="lowerRoman"/>
      <w:lvlText w:val="%3."/>
      <w:lvlJc w:val="right"/>
      <w:pPr>
        <w:tabs>
          <w:tab w:val="num" w:pos="0"/>
        </w:tabs>
        <w:ind w:left="2508" w:hanging="180"/>
      </w:pPr>
      <w:rPr>
        <w:vertAlign w:val="baseline"/>
        <w:position w:val="0"/>
        <w:sz w:val="22"/>
      </w:rPr>
    </w:lvl>
    <w:lvl w:ilvl="3">
      <w:start w:val="1"/>
      <w:numFmt w:val="decimal"/>
      <w:lvlText w:val="%4."/>
      <w:lvlJc w:val="left"/>
      <w:pPr>
        <w:tabs>
          <w:tab w:val="num" w:pos="0"/>
        </w:tabs>
        <w:ind w:left="3228" w:hanging="360"/>
      </w:pPr>
      <w:rPr>
        <w:vertAlign w:val="baseline"/>
        <w:position w:val="0"/>
        <w:sz w:val="22"/>
      </w:rPr>
    </w:lvl>
    <w:lvl w:ilvl="4">
      <w:start w:val="1"/>
      <w:numFmt w:val="lowerLetter"/>
      <w:lvlText w:val="%5."/>
      <w:lvlJc w:val="left"/>
      <w:pPr>
        <w:tabs>
          <w:tab w:val="num" w:pos="0"/>
        </w:tabs>
        <w:ind w:left="3948" w:hanging="360"/>
      </w:pPr>
      <w:rPr>
        <w:vertAlign w:val="baseline"/>
        <w:position w:val="0"/>
        <w:sz w:val="22"/>
      </w:rPr>
    </w:lvl>
    <w:lvl w:ilvl="5">
      <w:start w:val="1"/>
      <w:numFmt w:val="lowerRoman"/>
      <w:lvlText w:val="%6."/>
      <w:lvlJc w:val="right"/>
      <w:pPr>
        <w:tabs>
          <w:tab w:val="num" w:pos="0"/>
        </w:tabs>
        <w:ind w:left="4668" w:hanging="180"/>
      </w:pPr>
      <w:rPr>
        <w:vertAlign w:val="baseline"/>
        <w:position w:val="0"/>
        <w:sz w:val="22"/>
      </w:rPr>
    </w:lvl>
    <w:lvl w:ilvl="6">
      <w:start w:val="1"/>
      <w:numFmt w:val="decimal"/>
      <w:lvlText w:val="%7."/>
      <w:lvlJc w:val="left"/>
      <w:pPr>
        <w:tabs>
          <w:tab w:val="num" w:pos="0"/>
        </w:tabs>
        <w:ind w:left="5388" w:hanging="360"/>
      </w:pPr>
      <w:rPr>
        <w:vertAlign w:val="baseline"/>
        <w:position w:val="0"/>
        <w:sz w:val="22"/>
      </w:rPr>
    </w:lvl>
    <w:lvl w:ilvl="7">
      <w:start w:val="1"/>
      <w:numFmt w:val="lowerLetter"/>
      <w:lvlText w:val="%8."/>
      <w:lvlJc w:val="left"/>
      <w:pPr>
        <w:tabs>
          <w:tab w:val="num" w:pos="0"/>
        </w:tabs>
        <w:ind w:left="6108" w:hanging="360"/>
      </w:pPr>
      <w:rPr>
        <w:vertAlign w:val="baseline"/>
        <w:position w:val="0"/>
        <w:sz w:val="22"/>
      </w:rPr>
    </w:lvl>
    <w:lvl w:ilvl="8">
      <w:start w:val="1"/>
      <w:numFmt w:val="lowerRoman"/>
      <w:lvlText w:val="%9."/>
      <w:lvlJc w:val="right"/>
      <w:pPr>
        <w:tabs>
          <w:tab w:val="num" w:pos="0"/>
        </w:tabs>
        <w:ind w:left="6828" w:hanging="180"/>
      </w:pPr>
      <w:rPr>
        <w:vertAlign w:val="baseline"/>
        <w:position w:val="0"/>
        <w:sz w:val="22"/>
      </w:rPr>
    </w:lvl>
  </w:abstractNum>
  <w:abstractNum w:abstractNumId="2">
    <w:lvl w:ilvl="0">
      <w:start w:val="1"/>
      <w:numFmt w:val="decimal"/>
      <w:lvlText w:val="%1."/>
      <w:lvlJc w:val="left"/>
      <w:pPr>
        <w:tabs>
          <w:tab w:val="num" w:pos="718"/>
        </w:tabs>
        <w:ind w:left="718" w:hanging="360"/>
      </w:pPr>
      <w:rPr>
        <w:rFonts w:ascii="Times New Roman" w:hAnsi="Times New Roman"/>
      </w:rPr>
    </w:lvl>
    <w:lvl w:ilvl="1">
      <w:start w:val="1"/>
      <w:numFmt w:val="decimal"/>
      <w:lvlText w:val="%2."/>
      <w:lvlJc w:val="left"/>
      <w:pPr>
        <w:tabs>
          <w:tab w:val="num" w:pos="1078"/>
        </w:tabs>
        <w:ind w:left="1078" w:hanging="360"/>
      </w:pPr>
      <w:rPr>
        <w:rFonts w:ascii="Times New Roman" w:hAnsi="Times New Roman"/>
      </w:rPr>
    </w:lvl>
    <w:lvl w:ilvl="2">
      <w:start w:val="1"/>
      <w:numFmt w:val="decimal"/>
      <w:lvlText w:val="%3."/>
      <w:lvlJc w:val="left"/>
      <w:pPr>
        <w:tabs>
          <w:tab w:val="num" w:pos="1438"/>
        </w:tabs>
        <w:ind w:left="1438" w:hanging="360"/>
      </w:pPr>
      <w:rPr>
        <w:rFonts w:ascii="Times New Roman" w:hAnsi="Times New Roman"/>
      </w:rPr>
    </w:lvl>
    <w:lvl w:ilvl="3">
      <w:start w:val="1"/>
      <w:numFmt w:val="decimal"/>
      <w:lvlText w:val="%4."/>
      <w:lvlJc w:val="left"/>
      <w:pPr>
        <w:tabs>
          <w:tab w:val="num" w:pos="1798"/>
        </w:tabs>
        <w:ind w:left="1798" w:hanging="360"/>
      </w:pPr>
      <w:rPr>
        <w:rFonts w:ascii="Times New Roman" w:hAnsi="Times New Roman"/>
      </w:rPr>
    </w:lvl>
    <w:lvl w:ilvl="4">
      <w:start w:val="1"/>
      <w:numFmt w:val="decimal"/>
      <w:lvlText w:val="%5."/>
      <w:lvlJc w:val="left"/>
      <w:pPr>
        <w:tabs>
          <w:tab w:val="num" w:pos="2158"/>
        </w:tabs>
        <w:ind w:left="2158" w:hanging="360"/>
      </w:pPr>
      <w:rPr>
        <w:rFonts w:ascii="Times New Roman" w:hAnsi="Times New Roman"/>
      </w:rPr>
    </w:lvl>
    <w:lvl w:ilvl="5">
      <w:start w:val="1"/>
      <w:numFmt w:val="decimal"/>
      <w:lvlText w:val="%6."/>
      <w:lvlJc w:val="left"/>
      <w:pPr>
        <w:tabs>
          <w:tab w:val="num" w:pos="2518"/>
        </w:tabs>
        <w:ind w:left="2518" w:hanging="360"/>
      </w:pPr>
      <w:rPr>
        <w:rFonts w:ascii="Times New Roman" w:hAnsi="Times New Roman"/>
      </w:rPr>
    </w:lvl>
    <w:lvl w:ilvl="6">
      <w:start w:val="1"/>
      <w:numFmt w:val="decimal"/>
      <w:lvlText w:val="%7."/>
      <w:lvlJc w:val="left"/>
      <w:pPr>
        <w:tabs>
          <w:tab w:val="num" w:pos="2878"/>
        </w:tabs>
        <w:ind w:left="2878" w:hanging="360"/>
      </w:pPr>
      <w:rPr>
        <w:rFonts w:ascii="Times New Roman" w:hAnsi="Times New Roman"/>
      </w:rPr>
    </w:lvl>
    <w:lvl w:ilvl="7">
      <w:start w:val="1"/>
      <w:numFmt w:val="decimal"/>
      <w:lvlText w:val="%8."/>
      <w:lvlJc w:val="left"/>
      <w:pPr>
        <w:tabs>
          <w:tab w:val="num" w:pos="3238"/>
        </w:tabs>
        <w:ind w:left="3238" w:hanging="360"/>
      </w:pPr>
      <w:rPr>
        <w:rFonts w:ascii="Times New Roman" w:hAnsi="Times New Roman"/>
      </w:rPr>
    </w:lvl>
    <w:lvl w:ilvl="8">
      <w:start w:val="1"/>
      <w:numFmt w:val="decimal"/>
      <w:lvlText w:val="%9."/>
      <w:lvlJc w:val="left"/>
      <w:pPr>
        <w:tabs>
          <w:tab w:val="num" w:pos="3598"/>
        </w:tabs>
        <w:ind w:left="3598" w:hanging="360"/>
      </w:pPr>
      <w:rPr>
        <w:rFonts w:ascii="Times New Roman" w:hAnsi="Times New Roman"/>
      </w:rPr>
    </w:lvl>
  </w:abstractNum>
  <w:abstractNum w:abstractNumId="3">
    <w:lvl w:ilvl="0">
      <w:start w:val="1"/>
      <w:numFmt w:val="bullet"/>
      <w:lvlText w:val="-"/>
      <w:lvlJc w:val="left"/>
      <w:pPr>
        <w:tabs>
          <w:tab w:val="num" w:pos="720"/>
        </w:tabs>
        <w:ind w:left="720" w:hanging="360"/>
      </w:pPr>
      <w:rPr>
        <w:rFonts w:ascii="OpenSymbol" w:hAnsi="OpenSymbol" w:cs="OpenSymbol" w:hint="default"/>
        <w:sz w:val="24"/>
        <w:szCs w:val="24"/>
      </w:rPr>
    </w:lvl>
    <w:lvl w:ilvl="1">
      <w:start w:val="1"/>
      <w:numFmt w:val="bullet"/>
      <w:lvlText w:val="◦"/>
      <w:lvlJc w:val="left"/>
      <w:pPr>
        <w:tabs>
          <w:tab w:val="num" w:pos="1080"/>
        </w:tabs>
        <w:ind w:left="1080" w:hanging="360"/>
      </w:pPr>
      <w:rPr>
        <w:rFonts w:ascii="OpenSymbol" w:hAnsi="OpenSymbol" w:cs="OpenSymbol" w:hint="default"/>
        <w:sz w:val="24"/>
        <w:szCs w:val="24"/>
      </w:rPr>
    </w:lvl>
    <w:lvl w:ilvl="2">
      <w:start w:val="1"/>
      <w:numFmt w:val="bullet"/>
      <w:lvlText w:val="▪"/>
      <w:lvlJc w:val="left"/>
      <w:pPr>
        <w:tabs>
          <w:tab w:val="num" w:pos="1440"/>
        </w:tabs>
        <w:ind w:left="1440" w:hanging="360"/>
      </w:pPr>
      <w:rPr>
        <w:rFonts w:ascii="OpenSymbol" w:hAnsi="OpenSymbol" w:cs="OpenSymbol" w:hint="default"/>
        <w:sz w:val="24"/>
        <w:szCs w:val="24"/>
      </w:rPr>
    </w:lvl>
    <w:lvl w:ilvl="3">
      <w:start w:val="1"/>
      <w:numFmt w:val="bullet"/>
      <w:lvlText w:val=""/>
      <w:lvlJc w:val="left"/>
      <w:pPr>
        <w:tabs>
          <w:tab w:val="num" w:pos="1800"/>
        </w:tabs>
        <w:ind w:left="1800" w:hanging="360"/>
      </w:pPr>
      <w:rPr>
        <w:rFonts w:ascii="Symbol" w:hAnsi="Symbol" w:cs="Symbol" w:hint="default"/>
        <w:sz w:val="24"/>
        <w:szCs w:val="24"/>
      </w:rPr>
    </w:lvl>
    <w:lvl w:ilvl="4">
      <w:start w:val="1"/>
      <w:numFmt w:val="bullet"/>
      <w:lvlText w:val="◦"/>
      <w:lvlJc w:val="left"/>
      <w:pPr>
        <w:tabs>
          <w:tab w:val="num" w:pos="2160"/>
        </w:tabs>
        <w:ind w:left="2160" w:hanging="360"/>
      </w:pPr>
      <w:rPr>
        <w:rFonts w:ascii="OpenSymbol" w:hAnsi="OpenSymbol" w:cs="OpenSymbol" w:hint="default"/>
        <w:sz w:val="24"/>
        <w:szCs w:val="24"/>
      </w:rPr>
    </w:lvl>
    <w:lvl w:ilvl="5">
      <w:start w:val="1"/>
      <w:numFmt w:val="bullet"/>
      <w:lvlText w:val="▪"/>
      <w:lvlJc w:val="left"/>
      <w:pPr>
        <w:tabs>
          <w:tab w:val="num" w:pos="2520"/>
        </w:tabs>
        <w:ind w:left="2520" w:hanging="360"/>
      </w:pPr>
      <w:rPr>
        <w:rFonts w:ascii="OpenSymbol" w:hAnsi="OpenSymbol" w:cs="OpenSymbol" w:hint="default"/>
        <w:sz w:val="24"/>
        <w:szCs w:val="24"/>
      </w:rPr>
    </w:lvl>
    <w:lvl w:ilvl="6">
      <w:start w:val="1"/>
      <w:numFmt w:val="bullet"/>
      <w:lvlText w:val=""/>
      <w:lvlJc w:val="left"/>
      <w:pPr>
        <w:tabs>
          <w:tab w:val="num" w:pos="2880"/>
        </w:tabs>
        <w:ind w:left="2880" w:hanging="360"/>
      </w:pPr>
      <w:rPr>
        <w:rFonts w:ascii="Symbol" w:hAnsi="Symbol" w:cs="Symbol" w:hint="default"/>
        <w:sz w:val="24"/>
        <w:szCs w:val="24"/>
      </w:rPr>
    </w:lvl>
    <w:lvl w:ilvl="7">
      <w:start w:val="1"/>
      <w:numFmt w:val="bullet"/>
      <w:lvlText w:val="◦"/>
      <w:lvlJc w:val="left"/>
      <w:pPr>
        <w:tabs>
          <w:tab w:val="num" w:pos="3240"/>
        </w:tabs>
        <w:ind w:left="3240" w:hanging="360"/>
      </w:pPr>
      <w:rPr>
        <w:rFonts w:ascii="OpenSymbol" w:hAnsi="OpenSymbol" w:cs="OpenSymbol" w:hint="default"/>
        <w:sz w:val="24"/>
        <w:szCs w:val="24"/>
      </w:rPr>
    </w:lvl>
    <w:lvl w:ilvl="8">
      <w:start w:val="1"/>
      <w:numFmt w:val="bullet"/>
      <w:lvlText w:val="▪"/>
      <w:lvlJc w:val="left"/>
      <w:pPr>
        <w:tabs>
          <w:tab w:val="num" w:pos="3600"/>
        </w:tabs>
        <w:ind w:left="3600" w:hanging="360"/>
      </w:pPr>
      <w:rPr>
        <w:rFonts w:ascii="OpenSymbol" w:hAnsi="OpenSymbol" w:cs="OpenSymbol" w:hint="default"/>
        <w:sz w:val="24"/>
        <w:szCs w:val="24"/>
      </w:rPr>
    </w:lvl>
  </w:abstractNum>
  <w:abstractNum w:abstractNumId="4">
    <w:lvl w:ilvl="0">
      <w:start w:val="1"/>
      <w:numFmt w:val="bullet"/>
      <w:lvlText w:val="-"/>
      <w:lvlJc w:val="left"/>
      <w:pPr>
        <w:tabs>
          <w:tab w:val="num" w:pos="718"/>
        </w:tabs>
        <w:ind w:left="718" w:hanging="360"/>
      </w:pPr>
      <w:rPr>
        <w:rFonts w:ascii="OpenSymbol" w:hAnsi="OpenSymbol" w:cs="OpenSymbol" w:hint="default"/>
        <w:sz w:val="24"/>
        <w:szCs w:val="24"/>
      </w:rPr>
    </w:lvl>
    <w:lvl w:ilvl="1">
      <w:start w:val="1"/>
      <w:numFmt w:val="bullet"/>
      <w:lvlText w:val="◦"/>
      <w:lvlJc w:val="left"/>
      <w:pPr>
        <w:tabs>
          <w:tab w:val="num" w:pos="1078"/>
        </w:tabs>
        <w:ind w:left="1078" w:hanging="360"/>
      </w:pPr>
      <w:rPr>
        <w:rFonts w:ascii="OpenSymbol" w:hAnsi="OpenSymbol" w:cs="OpenSymbol" w:hint="default"/>
        <w:sz w:val="24"/>
        <w:szCs w:val="24"/>
      </w:rPr>
    </w:lvl>
    <w:lvl w:ilvl="2">
      <w:start w:val="1"/>
      <w:numFmt w:val="bullet"/>
      <w:lvlText w:val="▪"/>
      <w:lvlJc w:val="left"/>
      <w:pPr>
        <w:tabs>
          <w:tab w:val="num" w:pos="1438"/>
        </w:tabs>
        <w:ind w:left="1438" w:hanging="360"/>
      </w:pPr>
      <w:rPr>
        <w:rFonts w:ascii="OpenSymbol" w:hAnsi="OpenSymbol" w:cs="OpenSymbol" w:hint="default"/>
        <w:sz w:val="24"/>
        <w:szCs w:val="24"/>
      </w:rPr>
    </w:lvl>
    <w:lvl w:ilvl="3">
      <w:start w:val="1"/>
      <w:numFmt w:val="bullet"/>
      <w:lvlText w:val=""/>
      <w:lvlJc w:val="left"/>
      <w:pPr>
        <w:tabs>
          <w:tab w:val="num" w:pos="1798"/>
        </w:tabs>
        <w:ind w:left="1798" w:hanging="360"/>
      </w:pPr>
      <w:rPr>
        <w:rFonts w:ascii="Symbol" w:hAnsi="Symbol" w:cs="Symbol" w:hint="default"/>
        <w:sz w:val="24"/>
        <w:szCs w:val="24"/>
      </w:rPr>
    </w:lvl>
    <w:lvl w:ilvl="4">
      <w:start w:val="1"/>
      <w:numFmt w:val="bullet"/>
      <w:lvlText w:val="◦"/>
      <w:lvlJc w:val="left"/>
      <w:pPr>
        <w:tabs>
          <w:tab w:val="num" w:pos="2158"/>
        </w:tabs>
        <w:ind w:left="2158" w:hanging="360"/>
      </w:pPr>
      <w:rPr>
        <w:rFonts w:ascii="OpenSymbol" w:hAnsi="OpenSymbol" w:cs="OpenSymbol" w:hint="default"/>
        <w:sz w:val="24"/>
        <w:szCs w:val="24"/>
      </w:rPr>
    </w:lvl>
    <w:lvl w:ilvl="5">
      <w:start w:val="1"/>
      <w:numFmt w:val="bullet"/>
      <w:lvlText w:val="▪"/>
      <w:lvlJc w:val="left"/>
      <w:pPr>
        <w:tabs>
          <w:tab w:val="num" w:pos="2518"/>
        </w:tabs>
        <w:ind w:left="2518" w:hanging="360"/>
      </w:pPr>
      <w:rPr>
        <w:rFonts w:ascii="OpenSymbol" w:hAnsi="OpenSymbol" w:cs="OpenSymbol" w:hint="default"/>
        <w:sz w:val="24"/>
        <w:szCs w:val="24"/>
      </w:rPr>
    </w:lvl>
    <w:lvl w:ilvl="6">
      <w:start w:val="1"/>
      <w:numFmt w:val="bullet"/>
      <w:lvlText w:val=""/>
      <w:lvlJc w:val="left"/>
      <w:pPr>
        <w:tabs>
          <w:tab w:val="num" w:pos="2878"/>
        </w:tabs>
        <w:ind w:left="2878" w:hanging="360"/>
      </w:pPr>
      <w:rPr>
        <w:rFonts w:ascii="Symbol" w:hAnsi="Symbol" w:cs="Symbol" w:hint="default"/>
        <w:sz w:val="24"/>
        <w:szCs w:val="24"/>
      </w:rPr>
    </w:lvl>
    <w:lvl w:ilvl="7">
      <w:start w:val="1"/>
      <w:numFmt w:val="bullet"/>
      <w:lvlText w:val="◦"/>
      <w:lvlJc w:val="left"/>
      <w:pPr>
        <w:tabs>
          <w:tab w:val="num" w:pos="3238"/>
        </w:tabs>
        <w:ind w:left="3238" w:hanging="360"/>
      </w:pPr>
      <w:rPr>
        <w:rFonts w:ascii="OpenSymbol" w:hAnsi="OpenSymbol" w:cs="OpenSymbol" w:hint="default"/>
        <w:sz w:val="24"/>
        <w:szCs w:val="24"/>
      </w:rPr>
    </w:lvl>
    <w:lvl w:ilvl="8">
      <w:start w:val="1"/>
      <w:numFmt w:val="bullet"/>
      <w:lvlText w:val="▪"/>
      <w:lvlJc w:val="left"/>
      <w:pPr>
        <w:tabs>
          <w:tab w:val="num" w:pos="3598"/>
        </w:tabs>
        <w:ind w:left="3598" w:hanging="360"/>
      </w:pPr>
      <w:rPr>
        <w:rFonts w:ascii="OpenSymbol" w:hAnsi="OpenSymbol" w:cs="OpenSymbol" w:hint="default"/>
        <w:sz w:val="24"/>
        <w:szCs w:val="24"/>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A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en-AS" w:eastAsia="en-A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ind w:left="-1" w:hanging="1"/>
      <w:jc w:val="left"/>
      <w:textAlignment w:val="top"/>
      <w:outlineLvl w:val="0"/>
    </w:pPr>
    <w:rPr>
      <w:rFonts w:ascii="Calibri" w:hAnsi="Calibri" w:eastAsia="Calibri" w:cs="Calibri"/>
      <w:color w:val="auto"/>
      <w:kern w:val="0"/>
      <w:sz w:val="22"/>
      <w:szCs w:val="22"/>
      <w:vertAlign w:val="subscript"/>
      <w:lang w:eastAsia="en-US" w:val="en-AS" w:bidi="ar-SA"/>
    </w:rPr>
  </w:style>
  <w:style w:type="paragraph" w:styleId="Heading1">
    <w:name w:val="Heading 1"/>
    <w:basedOn w:val="Normal"/>
    <w:next w:val="Normal"/>
    <w:uiPriority w:val="9"/>
    <w:qFormat/>
    <w:pPr>
      <w:keepNext w:val="true"/>
      <w:keepLines/>
      <w:spacing w:lineRule="auto" w:line="240" w:before="0" w:after="0"/>
      <w:jc w:val="center"/>
    </w:pPr>
    <w:rPr>
      <w:rFonts w:ascii="Times New Roman" w:hAnsi="Times New Roman" w:eastAsia="Times New Roman" w:cs="Times New Roman"/>
      <w:b/>
      <w:bCs/>
      <w:sz w:val="24"/>
      <w:szCs w:val="28"/>
      <w:lang w:val="en-US"/>
    </w:rPr>
  </w:style>
  <w:style w:type="paragraph" w:styleId="Heading2">
    <w:name w:val="Heading 2"/>
    <w:basedOn w:val="Normal"/>
    <w:next w:val="Normal"/>
    <w:uiPriority w:val="9"/>
    <w:semiHidden/>
    <w:unhideWhenUsed/>
    <w:qFormat/>
    <w:pPr>
      <w:keepNext w:val="true"/>
      <w:keepLines/>
      <w:spacing w:before="40" w:after="0"/>
      <w:outlineLvl w:val="1"/>
    </w:pPr>
    <w:rPr>
      <w:rFonts w:ascii="Calibri Light" w:hAnsi="Calibri Light"/>
      <w:color w:val="2E74B5"/>
      <w:sz w:val="26"/>
      <w:szCs w:val="26"/>
    </w:rPr>
  </w:style>
  <w:style w:type="paragraph" w:styleId="Heading3">
    <w:name w:val="Heading 3"/>
    <w:basedOn w:val="Normal"/>
    <w:next w:val="Normal"/>
    <w:uiPriority w:val="9"/>
    <w:semiHidden/>
    <w:unhideWhenUsed/>
    <w:qFormat/>
    <w:pPr>
      <w:keepNext w:val="true"/>
      <w:keepLines/>
      <w:spacing w:before="280" w:after="80"/>
      <w:outlineLvl w:val="2"/>
    </w:pPr>
    <w:rPr>
      <w:b/>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LADINChar" w:customStyle="1">
    <w:name w:val="LADIN Char"/>
    <w:qFormat/>
    <w:rPr>
      <w:rFonts w:ascii="Times New Roman" w:hAnsi="Times New Roman" w:eastAsia="Times New Roman" w:cs="Times New Roman"/>
      <w:w w:val="100"/>
      <w:position w:val="0"/>
      <w:sz w:val="24"/>
      <w:sz w:val="24"/>
      <w:szCs w:val="24"/>
      <w:effect w:val="none"/>
      <w:vertAlign w:val="baseline"/>
      <w:em w:val="none"/>
      <w:lang w:val="en-US"/>
    </w:rPr>
  </w:style>
  <w:style w:type="character" w:styleId="Bodytext2Italic" w:customStyle="1">
    <w:name w:val="Body text (2) + Italic"/>
    <w:basedOn w:val="DefaultParagraphFont"/>
    <w:qFormat/>
    <w:rPr>
      <w:rFonts w:ascii="Times New Roman" w:hAnsi="Times New Roman" w:eastAsia="Times New Roman" w:cs="Times New Roman"/>
      <w:i/>
      <w:iCs/>
      <w:color w:val="000000"/>
      <w:spacing w:val="0"/>
      <w:w w:val="100"/>
      <w:position w:val="0"/>
      <w:sz w:val="24"/>
      <w:sz w:val="24"/>
      <w:szCs w:val="24"/>
      <w:effect w:val="none"/>
      <w:shd w:fill="FFFFFF" w:val="clear"/>
      <w:vertAlign w:val="baseline"/>
      <w:em w:val="none"/>
    </w:rPr>
  </w:style>
  <w:style w:type="character" w:styleId="Heading1Char" w:customStyle="1">
    <w:name w:val="Heading 1 Char"/>
    <w:basedOn w:val="DefaultParagraphFont"/>
    <w:qFormat/>
    <w:rPr>
      <w:rFonts w:ascii="Times New Roman" w:hAnsi="Times New Roman" w:eastAsia="Times New Roman" w:cs="Times New Roman"/>
      <w:b/>
      <w:bCs/>
      <w:w w:val="100"/>
      <w:position w:val="0"/>
      <w:sz w:val="24"/>
      <w:sz w:val="24"/>
      <w:szCs w:val="28"/>
      <w:effect w:val="none"/>
      <w:vertAlign w:val="baseline"/>
      <w:em w:val="none"/>
      <w:lang w:val="en-US"/>
    </w:rPr>
  </w:style>
  <w:style w:type="character" w:styleId="Ime1Char" w:customStyle="1">
    <w:name w:val="!Ime 1 Char"/>
    <w:qFormat/>
    <w:rPr>
      <w:rFonts w:ascii="Times New Roman" w:hAnsi="Times New Roman" w:eastAsia="Calibri" w:cs="Times New Roman"/>
      <w:i/>
      <w:w w:val="100"/>
      <w:position w:val="0"/>
      <w:sz w:val="24"/>
      <w:sz w:val="24"/>
      <w:effect w:val="none"/>
      <w:vertAlign w:val="baseline"/>
      <w:em w:val="none"/>
      <w:lang w:val="en-US"/>
    </w:rPr>
  </w:style>
  <w:style w:type="character" w:styleId="Ime2Char" w:customStyle="1">
    <w:name w:val="!Ime 2 Char"/>
    <w:qFormat/>
    <w:rPr>
      <w:rFonts w:ascii="Times New Roman" w:hAnsi="Times New Roman" w:eastAsia="Times New Roman" w:cs="Times New Roman"/>
      <w:w w:val="100"/>
      <w:position w:val="0"/>
      <w:sz w:val="20"/>
      <w:sz w:val="20"/>
      <w:szCs w:val="26"/>
      <w:effect w:val="none"/>
      <w:vertAlign w:val="baseline"/>
      <w:em w:val="none"/>
      <w:lang w:val="en-US"/>
    </w:rPr>
  </w:style>
  <w:style w:type="character" w:styleId="ApstraktChar" w:customStyle="1">
    <w:name w:val="!Apstrakt Char"/>
    <w:qFormat/>
    <w:rPr>
      <w:rFonts w:ascii="Times New Roman" w:hAnsi="Times New Roman" w:eastAsia="Calibri" w:cs="Times New Roman"/>
      <w:i/>
      <w:w w:val="100"/>
      <w:position w:val="0"/>
      <w:sz w:val="24"/>
      <w:sz w:val="24"/>
      <w:effect w:val="none"/>
      <w:vertAlign w:val="baseline"/>
      <w:em w:val="none"/>
      <w:lang w:val="en-US"/>
    </w:rPr>
  </w:style>
  <w:style w:type="character" w:styleId="FootnoteTextChar" w:customStyle="1">
    <w:name w:val="Footnote Text Char"/>
    <w:basedOn w:val="DefaultParagraphFont"/>
    <w:qFormat/>
    <w:rPr>
      <w:rFonts w:ascii="Times New Roman" w:hAnsi="Times New Roman" w:eastAsia="Calibri" w:cs="Times New Roman"/>
      <w:w w:val="100"/>
      <w:position w:val="0"/>
      <w:sz w:val="20"/>
      <w:sz w:val="20"/>
      <w:szCs w:val="20"/>
      <w:effect w:val="none"/>
      <w:vertAlign w:val="baseline"/>
      <w:em w:val="none"/>
      <w:lang w:val="en-US"/>
    </w:rPr>
  </w:style>
  <w:style w:type="character" w:styleId="FootnoteCharacters" w:customStyle="1">
    <w:name w:val="Footnote Characters"/>
    <w:qFormat/>
    <w:rPr>
      <w:w w:val="100"/>
      <w:effect w:val="none"/>
      <w:vertAlign w:val="superscript"/>
      <w:em w:val="none"/>
    </w:rPr>
  </w:style>
  <w:style w:type="character" w:styleId="FootnoteAnchor" w:customStyle="1">
    <w:name w:val="Footnote Reference"/>
    <w:rPr>
      <w:w w:val="100"/>
      <w:effect w:val="none"/>
      <w:vertAlign w:val="superscript"/>
      <w:em w:val="none"/>
    </w:rPr>
  </w:style>
  <w:style w:type="character" w:styleId="Heading2Char" w:customStyle="1">
    <w:name w:val="Heading 2 Char"/>
    <w:basedOn w:val="DefaultParagraphFont"/>
    <w:qFormat/>
    <w:rPr>
      <w:rFonts w:ascii="Calibri Light" w:hAnsi="Calibri Light"/>
      <w:color w:val="2E74B5"/>
      <w:w w:val="100"/>
      <w:position w:val="0"/>
      <w:sz w:val="26"/>
      <w:sz w:val="26"/>
      <w:szCs w:val="26"/>
      <w:effect w:val="none"/>
      <w:vertAlign w:val="baseline"/>
      <w:em w:val="none"/>
    </w:rPr>
  </w:style>
  <w:style w:type="character" w:styleId="TitleChar" w:customStyle="1">
    <w:name w:val="Title Char"/>
    <w:basedOn w:val="DefaultParagraphFont"/>
    <w:qFormat/>
    <w:rPr>
      <w:rFonts w:ascii="Calibri Light" w:hAnsi="Calibri Light"/>
      <w:spacing w:val="-10"/>
      <w:w w:val="100"/>
      <w:kern w:val="2"/>
      <w:position w:val="0"/>
      <w:sz w:val="56"/>
      <w:sz w:val="56"/>
      <w:szCs w:val="56"/>
      <w:effect w:val="none"/>
      <w:vertAlign w:val="baseline"/>
      <w:em w:val="none"/>
    </w:rPr>
  </w:style>
  <w:style w:type="character" w:styleId="Bodytext2Bold" w:customStyle="1">
    <w:name w:val="Body text (2) + Bold"/>
    <w:basedOn w:val="DefaultParagraphFont"/>
    <w:qFormat/>
    <w:rPr>
      <w:rFonts w:ascii="Times New Roman" w:hAnsi="Times New Roman" w:eastAsia="Times New Roman" w:cs="Times New Roman"/>
      <w:b/>
      <w:bCs/>
      <w:color w:val="000000"/>
      <w:spacing w:val="0"/>
      <w:w w:val="100"/>
      <w:position w:val="0"/>
      <w:sz w:val="24"/>
      <w:sz w:val="24"/>
      <w:szCs w:val="24"/>
      <w:effect w:val="none"/>
      <w:shd w:fill="FFFFFF" w:val="clear"/>
      <w:vertAlign w:val="baseline"/>
      <w:em w:val="none"/>
    </w:rPr>
  </w:style>
  <w:style w:type="character" w:styleId="HeaderChar" w:customStyle="1">
    <w:name w:val="Header Char"/>
    <w:basedOn w:val="DefaultParagraphFont"/>
    <w:qFormat/>
    <w:rPr>
      <w:w w:val="100"/>
      <w:position w:val="0"/>
      <w:sz w:val="22"/>
      <w:effect w:val="none"/>
      <w:vertAlign w:val="baseline"/>
      <w:em w:val="none"/>
    </w:rPr>
  </w:style>
  <w:style w:type="character" w:styleId="FooterChar" w:customStyle="1">
    <w:name w:val="Footer Char"/>
    <w:basedOn w:val="DefaultParagraphFont"/>
    <w:qFormat/>
    <w:rPr>
      <w:w w:val="100"/>
      <w:position w:val="0"/>
      <w:sz w:val="22"/>
      <w:effect w:val="none"/>
      <w:vertAlign w:val="baseline"/>
      <w:em w:val="none"/>
    </w:rPr>
  </w:style>
  <w:style w:type="character" w:styleId="Bodytext4Bold" w:customStyle="1">
    <w:name w:val="Body text (4) + Bold"/>
    <w:basedOn w:val="DefaultParagraphFont"/>
    <w:qFormat/>
    <w:rPr>
      <w:rFonts w:ascii="Times New Roman" w:hAnsi="Times New Roman" w:eastAsia="Times New Roman" w:cs="Times New Roman"/>
      <w:b/>
      <w:bCs/>
      <w:i w:val="false"/>
      <w:iCs w:val="false"/>
      <w:caps w:val="false"/>
      <w:smallCaps w:val="false"/>
      <w:strike w:val="false"/>
      <w:dstrike w:val="false"/>
      <w:color w:val="000000"/>
      <w:spacing w:val="0"/>
      <w:w w:val="100"/>
      <w:position w:val="0"/>
      <w:sz w:val="19"/>
      <w:sz w:val="19"/>
      <w:szCs w:val="19"/>
      <w:u w:val="none"/>
      <w:effect w:val="none"/>
      <w:shd w:fill="FFFFFF" w:val="clear"/>
      <w:vertAlign w:val="baseline"/>
      <w:em w:val="none"/>
    </w:rPr>
  </w:style>
  <w:style w:type="character" w:styleId="Bodytext2" w:customStyle="1">
    <w:name w:val="Body text (2)_"/>
    <w:basedOn w:val="DefaultParagraphFont"/>
    <w:qFormat/>
    <w:rPr>
      <w:rFonts w:ascii="Times New Roman" w:hAnsi="Times New Roman" w:eastAsia="Times New Roman" w:cs="Times New Roman"/>
      <w:w w:val="100"/>
      <w:position w:val="0"/>
      <w:sz w:val="22"/>
      <w:effect w:val="none"/>
      <w:shd w:fill="FFFFFF" w:val="clear"/>
      <w:vertAlign w:val="baseline"/>
      <w:em w:val="none"/>
    </w:rPr>
  </w:style>
  <w:style w:type="character" w:styleId="Bodytext4" w:customStyle="1">
    <w:name w:val="Body text (4)_"/>
    <w:basedOn w:val="DefaultParagraphFont"/>
    <w:qFormat/>
    <w:rPr>
      <w:rFonts w:ascii="Times New Roman" w:hAnsi="Times New Roman" w:eastAsia="Times New Roman" w:cs="Times New Roman"/>
      <w:b/>
      <w:bCs/>
      <w:w w:val="100"/>
      <w:position w:val="0"/>
      <w:sz w:val="22"/>
      <w:effect w:val="none"/>
      <w:shd w:fill="FFFFFF" w:val="clear"/>
      <w:vertAlign w:val="baseline"/>
      <w:em w:val="none"/>
    </w:rPr>
  </w:style>
  <w:style w:type="character" w:styleId="InternetLink" w:customStyle="1">
    <w:name w:val="Hyperlink"/>
    <w:basedOn w:val="DefaultParagraphFont"/>
    <w:rPr>
      <w:color w:val="0563C1"/>
      <w:w w:val="100"/>
      <w:position w:val="0"/>
      <w:sz w:val="22"/>
      <w:u w:val="single"/>
      <w:effect w:val="none"/>
      <w:vertAlign w:val="baseline"/>
      <w:em w:val="none"/>
    </w:rPr>
  </w:style>
  <w:style w:type="character" w:styleId="Applestylespan" w:customStyle="1">
    <w:name w:val="apple-style-span"/>
    <w:basedOn w:val="DefaultParagraphFont"/>
    <w:qFormat/>
    <w:rPr>
      <w:w w:val="100"/>
      <w:position w:val="0"/>
      <w:sz w:val="22"/>
      <w:effect w:val="none"/>
      <w:vertAlign w:val="baseline"/>
      <w:em w:val="none"/>
    </w:rPr>
  </w:style>
  <w:style w:type="character" w:styleId="Appleconvertedspace" w:customStyle="1">
    <w:name w:val="apple-converted-space"/>
    <w:basedOn w:val="DefaultParagraphFont"/>
    <w:qFormat/>
    <w:rPr>
      <w:w w:val="100"/>
      <w:position w:val="0"/>
      <w:sz w:val="22"/>
      <w:effect w:val="none"/>
      <w:vertAlign w:val="baseline"/>
      <w:em w:val="none"/>
    </w:rPr>
  </w:style>
  <w:style w:type="character" w:styleId="Notranslate" w:customStyle="1">
    <w:name w:val="notranslate"/>
    <w:basedOn w:val="DefaultParagraphFont"/>
    <w:qFormat/>
    <w:rPr>
      <w:w w:val="100"/>
      <w:position w:val="0"/>
      <w:sz w:val="22"/>
      <w:effect w:val="none"/>
      <w:vertAlign w:val="baseline"/>
      <w:em w:val="none"/>
    </w:rPr>
  </w:style>
  <w:style w:type="character" w:styleId="EndnoteTextChar" w:customStyle="1">
    <w:name w:val="Endnote Text Char"/>
    <w:basedOn w:val="DefaultParagraphFont"/>
    <w:qFormat/>
    <w:rPr>
      <w:w w:val="100"/>
      <w:position w:val="0"/>
      <w:sz w:val="20"/>
      <w:sz w:val="20"/>
      <w:szCs w:val="20"/>
      <w:effect w:val="none"/>
      <w:vertAlign w:val="baseline"/>
      <w:em w:val="none"/>
    </w:rPr>
  </w:style>
  <w:style w:type="character" w:styleId="EndnoteCharacters" w:customStyle="1">
    <w:name w:val="Endnote Characters"/>
    <w:basedOn w:val="DefaultParagraphFont"/>
    <w:qFormat/>
    <w:rPr>
      <w:w w:val="100"/>
      <w:effect w:val="none"/>
      <w:vertAlign w:val="superscript"/>
      <w:em w:val="none"/>
    </w:rPr>
  </w:style>
  <w:style w:type="character" w:styleId="EndnoteAnchor" w:customStyle="1">
    <w:name w:val="Endnote Reference"/>
    <w:rPr>
      <w:w w:val="100"/>
      <w:effect w:val="none"/>
      <w:vertAlign w:val="superscript"/>
      <w:em w:val="none"/>
    </w:rPr>
  </w:style>
  <w:style w:type="character" w:styleId="NumberingSymbols">
    <w:name w:val="Numbering Symbols"/>
    <w:qFormat/>
    <w:rPr>
      <w:rFonts w:ascii="Times New Roman" w:hAnsi="Times New Roman"/>
    </w:rPr>
  </w:style>
  <w:style w:type="character" w:styleId="Bullets">
    <w:name w:val="Bullets"/>
    <w:qFormat/>
    <w:rPr>
      <w:rFonts w:ascii="OpenSymbol" w:hAnsi="OpenSymbol" w:eastAsia="OpenSymbol" w:cs="OpenSymbol"/>
      <w:sz w:val="24"/>
      <w:szCs w:val="24"/>
    </w:rPr>
  </w:style>
  <w:style w:type="paragraph" w:styleId="Heading" w:customStyle="1">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customStyle="1">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qFormat/>
    <w:pPr>
      <w:suppressLineNumbers/>
    </w:pPr>
    <w:rPr>
      <w:rFonts w:cs="Lohit Devanagari"/>
    </w:rPr>
  </w:style>
  <w:style w:type="paragraph" w:styleId="Title">
    <w:name w:val="Title"/>
    <w:basedOn w:val="Normal"/>
    <w:next w:val="Normal"/>
    <w:uiPriority w:val="10"/>
    <w:qFormat/>
    <w:pPr>
      <w:spacing w:lineRule="auto" w:line="240" w:before="0" w:after="0"/>
      <w:contextualSpacing/>
    </w:pPr>
    <w:rPr>
      <w:rFonts w:ascii="Calibri Light" w:hAnsi="Calibri Light"/>
      <w:spacing w:val="-10"/>
      <w:kern w:val="2"/>
      <w:sz w:val="56"/>
      <w:szCs w:val="56"/>
    </w:rPr>
  </w:style>
  <w:style w:type="paragraph" w:styleId="Caption1">
    <w:name w:val="caption"/>
    <w:basedOn w:val="Normal"/>
    <w:qFormat/>
    <w:pPr>
      <w:suppressLineNumbers/>
      <w:spacing w:before="120" w:after="120"/>
    </w:pPr>
    <w:rPr>
      <w:rFonts w:cs="Lohit Devanagari"/>
      <w:i/>
      <w:iCs/>
      <w:sz w:val="24"/>
      <w:szCs w:val="24"/>
    </w:rPr>
  </w:style>
  <w:style w:type="paragraph" w:styleId="LADIN" w:customStyle="1">
    <w:name w:val="LADIN"/>
    <w:basedOn w:val="Normal"/>
    <w:qFormat/>
    <w:pPr>
      <w:spacing w:lineRule="auto" w:line="240" w:before="0" w:after="200"/>
      <w:jc w:val="both"/>
    </w:pPr>
    <w:rPr>
      <w:rFonts w:ascii="Times New Roman" w:hAnsi="Times New Roman" w:eastAsia="Times New Roman" w:cs="Times New Roman"/>
      <w:sz w:val="24"/>
      <w:szCs w:val="24"/>
      <w:lang w:val="en-US"/>
    </w:rPr>
  </w:style>
  <w:style w:type="paragraph" w:styleId="Ime1" w:customStyle="1">
    <w:name w:val="!Ime 1"/>
    <w:basedOn w:val="Normal"/>
    <w:qFormat/>
    <w:pPr>
      <w:spacing w:lineRule="auto" w:line="240" w:before="0" w:after="0"/>
      <w:jc w:val="center"/>
    </w:pPr>
    <w:rPr>
      <w:rFonts w:ascii="Times New Roman" w:hAnsi="Times New Roman" w:cs="Times New Roman"/>
      <w:i/>
      <w:sz w:val="24"/>
      <w:lang w:val="en-US"/>
    </w:rPr>
  </w:style>
  <w:style w:type="paragraph" w:styleId="Ime2" w:customStyle="1">
    <w:name w:val="!Ime 2"/>
    <w:basedOn w:val="Heading2"/>
    <w:qFormat/>
    <w:pPr>
      <w:spacing w:lineRule="auto" w:line="240" w:before="0" w:after="0"/>
      <w:jc w:val="both"/>
    </w:pPr>
    <w:rPr>
      <w:rFonts w:ascii="Times New Roman" w:hAnsi="Times New Roman" w:eastAsia="Times New Roman" w:cs="Times New Roman"/>
      <w:sz w:val="20"/>
      <w:lang w:val="en-US"/>
    </w:rPr>
  </w:style>
  <w:style w:type="paragraph" w:styleId="Apstrakt" w:customStyle="1">
    <w:name w:val="!Apstrakt"/>
    <w:basedOn w:val="Normal"/>
    <w:qFormat/>
    <w:pPr>
      <w:spacing w:lineRule="auto" w:line="240" w:before="0" w:after="0"/>
      <w:jc w:val="both"/>
    </w:pPr>
    <w:rPr>
      <w:rFonts w:ascii="Times New Roman" w:hAnsi="Times New Roman" w:cs="Times New Roman"/>
      <w:i/>
      <w:sz w:val="24"/>
      <w:lang w:val="en-US"/>
    </w:rPr>
  </w:style>
  <w:style w:type="paragraph" w:styleId="Footnote" w:customStyle="1">
    <w:name w:val="Footnote Text"/>
    <w:basedOn w:val="Normal"/>
    <w:pPr>
      <w:spacing w:lineRule="auto" w:line="240" w:before="0" w:after="0"/>
      <w:jc w:val="both"/>
    </w:pPr>
    <w:rPr>
      <w:rFonts w:ascii="Times New Roman" w:hAnsi="Times New Roman" w:cs="Times New Roman"/>
      <w:sz w:val="20"/>
      <w:szCs w:val="20"/>
      <w:lang w:val="en-US"/>
    </w:rPr>
  </w:style>
  <w:style w:type="paragraph" w:styleId="S00Titleofthepaper" w:customStyle="1">
    <w:name w:val="S00-Title of the paper"/>
    <w:basedOn w:val="Title"/>
    <w:qFormat/>
    <w:pPr>
      <w:spacing w:before="240" w:after="60"/>
      <w:ind w:left="0" w:firstLine="567"/>
      <w:contextualSpacing/>
      <w:jc w:val="center"/>
    </w:pPr>
    <w:rPr>
      <w:rFonts w:ascii="Calibri" w:hAnsi="Calibri" w:eastAsia="Times New Roman" w:cs="Times New Roman"/>
      <w:bCs/>
      <w:caps/>
      <w:color w:val="000000"/>
      <w:spacing w:val="0"/>
      <w:sz w:val="36"/>
      <w:szCs w:val="20"/>
      <w:lang w:val="en-GB"/>
    </w:rPr>
  </w:style>
  <w:style w:type="paragraph" w:styleId="ListParagraph">
    <w:name w:val="List Paragraph"/>
    <w:basedOn w:val="Normal"/>
    <w:qFormat/>
    <w:pPr>
      <w:spacing w:before="0" w:after="160"/>
      <w:ind w:left="720" w:hanging="0"/>
      <w:contextualSpacing/>
    </w:pPr>
    <w:rPr/>
  </w:style>
  <w:style w:type="paragraph" w:styleId="HeaderandFooter" w:customStyle="1">
    <w:name w:val="Header and Footer"/>
    <w:basedOn w:val="Normal"/>
    <w:qFormat/>
    <w:pPr/>
    <w:rPr/>
  </w:style>
  <w:style w:type="paragraph" w:styleId="Header">
    <w:name w:val="Header"/>
    <w:basedOn w:val="Normal"/>
    <w:pPr>
      <w:tabs>
        <w:tab w:val="clear" w:pos="720"/>
        <w:tab w:val="center" w:pos="4536" w:leader="none"/>
        <w:tab w:val="right" w:pos="9072" w:leader="none"/>
      </w:tabs>
      <w:spacing w:lineRule="auto" w:line="240" w:before="0" w:after="0"/>
    </w:pPr>
    <w:rPr/>
  </w:style>
  <w:style w:type="paragraph" w:styleId="Footer">
    <w:name w:val="Footer"/>
    <w:basedOn w:val="Normal"/>
    <w:pPr>
      <w:tabs>
        <w:tab w:val="clear" w:pos="720"/>
        <w:tab w:val="center" w:pos="4536" w:leader="none"/>
        <w:tab w:val="right" w:pos="9072" w:leader="none"/>
      </w:tabs>
      <w:spacing w:lineRule="auto" w:line="240" w:before="0" w:after="0"/>
    </w:pPr>
    <w:rPr/>
  </w:style>
  <w:style w:type="paragraph" w:styleId="Bodytext21" w:customStyle="1">
    <w:name w:val="Body text (2)"/>
    <w:basedOn w:val="Normal"/>
    <w:qFormat/>
    <w:pPr>
      <w:widowControl w:val="false"/>
      <w:shd w:val="clear" w:color="auto" w:fill="FFFFFF"/>
      <w:spacing w:lineRule="atLeast" w:line="274" w:before="600" w:after="0"/>
      <w:ind w:left="0" w:hanging="360"/>
      <w:jc w:val="both"/>
    </w:pPr>
    <w:rPr>
      <w:rFonts w:ascii="Times New Roman" w:hAnsi="Times New Roman" w:eastAsia="Times New Roman" w:cs="Times New Roman"/>
    </w:rPr>
  </w:style>
  <w:style w:type="paragraph" w:styleId="Bodytext41" w:customStyle="1">
    <w:name w:val="Body text (4)"/>
    <w:basedOn w:val="Normal"/>
    <w:qFormat/>
    <w:pPr>
      <w:widowControl w:val="false"/>
      <w:shd w:val="clear" w:color="auto" w:fill="FFFFFF"/>
      <w:spacing w:lineRule="atLeast" w:line="0" w:before="600" w:after="300"/>
      <w:ind w:left="0" w:hanging="300"/>
      <w:jc w:val="both"/>
    </w:pPr>
    <w:rPr>
      <w:rFonts w:ascii="Times New Roman" w:hAnsi="Times New Roman" w:eastAsia="Times New Roman" w:cs="Times New Roman"/>
      <w:b/>
      <w:bCs/>
    </w:rPr>
  </w:style>
  <w:style w:type="paragraph" w:styleId="Endnote" w:customStyle="1">
    <w:name w:val="Endnote Text"/>
    <w:basedOn w:val="Normal"/>
    <w:pPr>
      <w:spacing w:lineRule="auto" w:line="240" w:before="0" w:after="0"/>
    </w:pPr>
    <w:rPr>
      <w:sz w:val="20"/>
      <w:szCs w:val="20"/>
    </w:rPr>
  </w:style>
  <w:style w:type="paragraph" w:styleId="Subtitle">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roundtripDataSignature="AMtx7mjK+1GvoJ5q14CUkmc37ejJ4h53NQ==">AMUW2mV7yarktPl5sqPOp7dRFgsh/tw7TNO6bhvcP3+osLjJuoy26rUSkBBIBM6SFFlggAsG9uA4kDEvvR5dOQXYgeMv2rT/JMWtyN9TLy3CPEZHymjV9CMitIxPANsfVoal8k96hZaUH0cwrWye6W9oFCHEswbJUg==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Application>LibreOffice/7.4.3.2$Linux_X86_64 LibreOffice_project/40$Build-2</Application>
  <AppVersion>15.0000</AppVersion>
  <Pages>15</Pages>
  <Words>4124</Words>
  <Characters>25485</Characters>
  <CharactersWithSpaces>29642</CharactersWithSpaces>
  <Paragraphs>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2021-07-01T05:18:00Z</dcterms:created>
  <dc:creator>Direktor</dc:creator>
  <dc:description/>
  <dc:language>hr-HR</dc:language>
  <cp:lastModifiedBy/>
  <dcterms:modified xsi:type="dcterms:W3CDTF">2022-11-29T09:59:38Z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