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685" w:rsidRPr="004F089A" w:rsidRDefault="00756685">
      <w:pPr>
        <w:rPr>
          <w:rFonts w:ascii="Times New Roman" w:hAnsi="Times New Roman" w:cs="Times New Roman"/>
          <w:b/>
        </w:rPr>
      </w:pPr>
      <w:r w:rsidRPr="004F089A">
        <w:rPr>
          <w:rFonts w:ascii="Times New Roman" w:hAnsi="Times New Roman" w:cs="Times New Roman"/>
          <w:b/>
        </w:rPr>
        <w:t>Kierkegaard on Women and Emancipation</w:t>
      </w:r>
    </w:p>
    <w:p w:rsidR="00FC3513" w:rsidRPr="004F089A" w:rsidRDefault="00756685">
      <w:pPr>
        <w:rPr>
          <w:rFonts w:ascii="Times New Roman" w:hAnsi="Times New Roman" w:cs="Times New Roman"/>
        </w:rPr>
      </w:pPr>
      <w:r w:rsidRPr="004F089A">
        <w:rPr>
          <w:rFonts w:ascii="Times New Roman" w:hAnsi="Times New Roman" w:cs="Times New Roman"/>
        </w:rPr>
        <w:t>Bojan Blagojević</w:t>
      </w:r>
    </w:p>
    <w:p w:rsidR="00756685" w:rsidRPr="004F089A" w:rsidRDefault="00756685">
      <w:pPr>
        <w:rPr>
          <w:rFonts w:ascii="Times New Roman" w:hAnsi="Times New Roman" w:cs="Times New Roman"/>
        </w:rPr>
      </w:pPr>
      <w:r w:rsidRPr="004F089A">
        <w:rPr>
          <w:rFonts w:ascii="Times New Roman" w:hAnsi="Times New Roman" w:cs="Times New Roman"/>
        </w:rPr>
        <w:t>University of Niš</w:t>
      </w:r>
    </w:p>
    <w:p w:rsidR="00756685" w:rsidRPr="004F089A" w:rsidRDefault="00756685">
      <w:pPr>
        <w:rPr>
          <w:rFonts w:ascii="Times New Roman" w:hAnsi="Times New Roman" w:cs="Times New Roman"/>
        </w:rPr>
      </w:pPr>
      <w:r w:rsidRPr="004F089A">
        <w:rPr>
          <w:rFonts w:ascii="Times New Roman" w:hAnsi="Times New Roman" w:cs="Times New Roman"/>
        </w:rPr>
        <w:t>Faculty of Philosophy</w:t>
      </w:r>
    </w:p>
    <w:p w:rsidR="00756685" w:rsidRPr="004F089A" w:rsidRDefault="00756685">
      <w:pPr>
        <w:rPr>
          <w:rFonts w:ascii="Times New Roman" w:hAnsi="Times New Roman" w:cs="Times New Roman"/>
        </w:rPr>
      </w:pPr>
      <w:r w:rsidRPr="004F089A">
        <w:rPr>
          <w:rFonts w:ascii="Times New Roman" w:hAnsi="Times New Roman" w:cs="Times New Roman"/>
        </w:rPr>
        <w:t>Department of Philosophy</w:t>
      </w:r>
    </w:p>
    <w:p w:rsidR="00756685" w:rsidRPr="004F089A" w:rsidRDefault="00756685">
      <w:pPr>
        <w:rPr>
          <w:rFonts w:ascii="Times New Roman" w:hAnsi="Times New Roman" w:cs="Times New Roman"/>
        </w:rPr>
      </w:pPr>
      <w:r w:rsidRPr="004F089A">
        <w:rPr>
          <w:rFonts w:ascii="Times New Roman" w:hAnsi="Times New Roman" w:cs="Times New Roman"/>
        </w:rPr>
        <w:t>Blagoja Parovića 12/51</w:t>
      </w:r>
    </w:p>
    <w:p w:rsidR="00756685" w:rsidRPr="004F089A" w:rsidRDefault="00756685">
      <w:pPr>
        <w:rPr>
          <w:rFonts w:ascii="Times New Roman" w:hAnsi="Times New Roman" w:cs="Times New Roman"/>
        </w:rPr>
      </w:pPr>
      <w:r w:rsidRPr="004F089A">
        <w:rPr>
          <w:rFonts w:ascii="Times New Roman" w:hAnsi="Times New Roman" w:cs="Times New Roman"/>
        </w:rPr>
        <w:t>bojanb@junis.ni.ac.rs</w:t>
      </w:r>
    </w:p>
    <w:p w:rsidR="00756685" w:rsidRPr="004F089A" w:rsidRDefault="00756685">
      <w:pPr>
        <w:rPr>
          <w:rFonts w:ascii="Times New Roman" w:hAnsi="Times New Roman" w:cs="Times New Roman"/>
        </w:rPr>
      </w:pPr>
      <w:r w:rsidRPr="004F089A">
        <w:rPr>
          <w:rFonts w:ascii="Times New Roman" w:hAnsi="Times New Roman" w:cs="Times New Roman"/>
        </w:rPr>
        <w:t>062 86 68 258</w:t>
      </w:r>
    </w:p>
    <w:p w:rsidR="00756685" w:rsidRPr="004F089A" w:rsidRDefault="00756685">
      <w:pPr>
        <w:rPr>
          <w:rFonts w:ascii="Times New Roman" w:hAnsi="Times New Roman" w:cs="Times New Roman"/>
        </w:rPr>
      </w:pPr>
      <w:r w:rsidRPr="004F089A">
        <w:rPr>
          <w:rFonts w:ascii="Times New Roman" w:hAnsi="Times New Roman" w:cs="Times New Roman"/>
        </w:rPr>
        <w:br w:type="page"/>
      </w:r>
    </w:p>
    <w:p w:rsidR="004F089A" w:rsidRPr="004F089A" w:rsidRDefault="004F089A" w:rsidP="004F089A">
      <w:pPr>
        <w:spacing w:line="360" w:lineRule="auto"/>
        <w:jc w:val="both"/>
        <w:rPr>
          <w:rFonts w:ascii="Times New Roman" w:hAnsi="Times New Roman" w:cs="Times New Roman"/>
          <w:sz w:val="24"/>
          <w:szCs w:val="24"/>
        </w:rPr>
      </w:pPr>
      <w:r w:rsidRPr="004F089A">
        <w:rPr>
          <w:rFonts w:ascii="Times New Roman" w:hAnsi="Times New Roman" w:cs="Times New Roman"/>
          <w:b/>
          <w:sz w:val="24"/>
          <w:szCs w:val="24"/>
        </w:rPr>
        <w:lastRenderedPageBreak/>
        <w:t>Kierkegaard on Women and Emancipation</w:t>
      </w:r>
    </w:p>
    <w:p w:rsidR="004F089A" w:rsidRPr="004F089A" w:rsidRDefault="004F089A" w:rsidP="004F089A">
      <w:pPr>
        <w:spacing w:line="360" w:lineRule="auto"/>
        <w:ind w:firstLine="567"/>
        <w:jc w:val="both"/>
        <w:rPr>
          <w:rFonts w:ascii="Times New Roman" w:hAnsi="Times New Roman" w:cs="Times New Roman"/>
          <w:sz w:val="24"/>
          <w:szCs w:val="24"/>
        </w:rPr>
      </w:pPr>
      <w:r w:rsidRPr="004F089A">
        <w:rPr>
          <w:rFonts w:ascii="Times New Roman" w:hAnsi="Times New Roman" w:cs="Times New Roman"/>
          <w:sz w:val="24"/>
          <w:szCs w:val="24"/>
        </w:rPr>
        <w:t xml:space="preserve">Feminist critique of Kierkegaard's philosophy standardly refers to the same passages of his production: the accounts of feminine, ie. passive despair given in </w:t>
      </w:r>
      <w:r w:rsidRPr="004F089A">
        <w:rPr>
          <w:rFonts w:ascii="Times New Roman" w:hAnsi="Times New Roman" w:cs="Times New Roman"/>
          <w:i/>
          <w:sz w:val="24"/>
          <w:szCs w:val="24"/>
        </w:rPr>
        <w:t>The Sickness unto Death</w:t>
      </w:r>
      <w:r w:rsidRPr="004F089A">
        <w:rPr>
          <w:rFonts w:ascii="Times New Roman" w:hAnsi="Times New Roman" w:cs="Times New Roman"/>
          <w:sz w:val="24"/>
          <w:szCs w:val="24"/>
        </w:rPr>
        <w:t xml:space="preserve">, the differences between feminine and masculine self in </w:t>
      </w:r>
      <w:r w:rsidRPr="004F089A">
        <w:rPr>
          <w:rFonts w:ascii="Times New Roman" w:hAnsi="Times New Roman" w:cs="Times New Roman"/>
          <w:i/>
          <w:sz w:val="24"/>
          <w:szCs w:val="24"/>
        </w:rPr>
        <w:t>The Concept of Anxiety</w:t>
      </w:r>
      <w:r w:rsidRPr="004F089A">
        <w:rPr>
          <w:rFonts w:ascii="Times New Roman" w:hAnsi="Times New Roman" w:cs="Times New Roman"/>
          <w:sz w:val="24"/>
          <w:szCs w:val="24"/>
        </w:rPr>
        <w:t xml:space="preserve">, accounts of types of passive existence through selected female literary characters in the first volume of </w:t>
      </w:r>
      <w:r w:rsidRPr="004F089A">
        <w:rPr>
          <w:rFonts w:ascii="Times New Roman" w:hAnsi="Times New Roman" w:cs="Times New Roman"/>
          <w:i/>
          <w:sz w:val="24"/>
          <w:szCs w:val="24"/>
        </w:rPr>
        <w:t>Either/Or</w:t>
      </w:r>
      <w:r w:rsidRPr="004F089A">
        <w:rPr>
          <w:rFonts w:ascii="Times New Roman" w:hAnsi="Times New Roman" w:cs="Times New Roman"/>
          <w:sz w:val="24"/>
          <w:szCs w:val="24"/>
        </w:rPr>
        <w:t xml:space="preserve"> and paternalistic positioning of the women in marriage in the second volume of </w:t>
      </w:r>
      <w:r w:rsidRPr="004F089A">
        <w:rPr>
          <w:rFonts w:ascii="Times New Roman" w:hAnsi="Times New Roman" w:cs="Times New Roman"/>
          <w:i/>
          <w:sz w:val="24"/>
          <w:szCs w:val="24"/>
        </w:rPr>
        <w:t>Either/Or</w:t>
      </w:r>
      <w:r w:rsidRPr="004F089A">
        <w:rPr>
          <w:rFonts w:ascii="Times New Roman" w:hAnsi="Times New Roman" w:cs="Times New Roman"/>
          <w:sz w:val="24"/>
          <w:szCs w:val="24"/>
        </w:rPr>
        <w:t xml:space="preserve"> and </w:t>
      </w:r>
      <w:r w:rsidRPr="004F089A">
        <w:rPr>
          <w:rFonts w:ascii="Times New Roman" w:hAnsi="Times New Roman" w:cs="Times New Roman"/>
          <w:i/>
          <w:sz w:val="24"/>
          <w:szCs w:val="24"/>
        </w:rPr>
        <w:t>Stages on Life's Way</w:t>
      </w:r>
      <w:r w:rsidRPr="004F089A">
        <w:rPr>
          <w:rFonts w:ascii="Times New Roman" w:hAnsi="Times New Roman" w:cs="Times New Roman"/>
          <w:sz w:val="24"/>
          <w:szCs w:val="24"/>
        </w:rPr>
        <w:t>. However, there are significant dissents even within feminist interpretations of the stated passages: they are seen as indubious signs of Kierkegaard's misoginy, as part of an ironic tactics directed at the Church of Denmark and the position of woman it promoted, or as an incentive directed towards the woman, the female reader, to reflect her cultural and historical circumstances.</w:t>
      </w:r>
    </w:p>
    <w:p w:rsidR="004F089A" w:rsidRPr="004F089A" w:rsidRDefault="004F089A" w:rsidP="004F089A">
      <w:pPr>
        <w:spacing w:line="360" w:lineRule="auto"/>
        <w:ind w:firstLine="567"/>
        <w:jc w:val="both"/>
        <w:rPr>
          <w:rFonts w:ascii="Times New Roman" w:hAnsi="Times New Roman" w:cs="Times New Roman"/>
          <w:sz w:val="24"/>
          <w:szCs w:val="24"/>
        </w:rPr>
      </w:pPr>
      <w:r w:rsidRPr="004F089A">
        <w:rPr>
          <w:rFonts w:ascii="Times New Roman" w:hAnsi="Times New Roman" w:cs="Times New Roman"/>
          <w:sz w:val="24"/>
          <w:szCs w:val="24"/>
        </w:rPr>
        <w:t>However, feminist critique overlooks the passages in which Kierkegaard speaks of specific individuals: his contemporaries Thomasine Gyllembourg and Johanne Heiberg, and the Virgin Mary. One can conclude from these passages that Kierkegaard's sexist stays limited to typologies and his choice of metaphores, while his demand directed to female individuals stays as rigorous as his demand directed to individuals in general: to fight for their freedom, as well as for their authenticity, on their own, without blending into mass movements of any kind.</w:t>
      </w:r>
    </w:p>
    <w:p w:rsidR="004F089A" w:rsidRPr="004F089A" w:rsidRDefault="004F089A" w:rsidP="004F089A">
      <w:pPr>
        <w:spacing w:line="360" w:lineRule="auto"/>
        <w:jc w:val="both"/>
        <w:rPr>
          <w:rFonts w:ascii="Times New Roman" w:hAnsi="Times New Roman" w:cs="Times New Roman"/>
          <w:sz w:val="24"/>
          <w:szCs w:val="24"/>
        </w:rPr>
      </w:pPr>
      <w:r w:rsidRPr="004F089A">
        <w:rPr>
          <w:rFonts w:ascii="Times New Roman" w:hAnsi="Times New Roman" w:cs="Times New Roman"/>
          <w:b/>
          <w:sz w:val="24"/>
          <w:szCs w:val="24"/>
        </w:rPr>
        <w:t xml:space="preserve">Key words: </w:t>
      </w:r>
      <w:r w:rsidRPr="004F089A">
        <w:rPr>
          <w:rFonts w:ascii="Times New Roman" w:hAnsi="Times New Roman" w:cs="Times New Roman"/>
          <w:sz w:val="24"/>
          <w:szCs w:val="24"/>
        </w:rPr>
        <w:t>Kierkegaard, feminism, emancipation, self, patriarchate</w:t>
      </w:r>
    </w:p>
    <w:p w:rsidR="00756685" w:rsidRPr="004F089A" w:rsidRDefault="00756685">
      <w:pPr>
        <w:rPr>
          <w:rFonts w:ascii="Times New Roman" w:hAnsi="Times New Roman" w:cs="Times New Roman"/>
        </w:rPr>
      </w:pPr>
    </w:p>
    <w:p w:rsidR="004F089A" w:rsidRPr="004F089A" w:rsidRDefault="004F089A" w:rsidP="004F089A">
      <w:pPr>
        <w:spacing w:line="360" w:lineRule="auto"/>
        <w:jc w:val="both"/>
        <w:rPr>
          <w:rFonts w:ascii="Times New Roman" w:hAnsi="Times New Roman" w:cs="Times New Roman"/>
          <w:b/>
          <w:sz w:val="24"/>
          <w:szCs w:val="24"/>
        </w:rPr>
      </w:pPr>
      <w:r w:rsidRPr="004F089A">
        <w:rPr>
          <w:rFonts w:ascii="Times New Roman" w:hAnsi="Times New Roman" w:cs="Times New Roman"/>
          <w:b/>
          <w:sz w:val="24"/>
          <w:szCs w:val="24"/>
        </w:rPr>
        <w:t xml:space="preserve">Апстракт </w:t>
      </w:r>
    </w:p>
    <w:p w:rsidR="004F089A" w:rsidRPr="004F089A" w:rsidRDefault="004F089A" w:rsidP="004F089A">
      <w:pPr>
        <w:spacing w:line="360" w:lineRule="auto"/>
        <w:ind w:firstLine="567"/>
        <w:jc w:val="both"/>
        <w:rPr>
          <w:rFonts w:ascii="Times New Roman" w:hAnsi="Times New Roman" w:cs="Times New Roman"/>
          <w:sz w:val="24"/>
          <w:szCs w:val="24"/>
        </w:rPr>
      </w:pPr>
      <w:r w:rsidRPr="004F089A">
        <w:rPr>
          <w:rFonts w:ascii="Times New Roman" w:hAnsi="Times New Roman" w:cs="Times New Roman"/>
          <w:sz w:val="24"/>
          <w:szCs w:val="24"/>
        </w:rPr>
        <w:t xml:space="preserve">Феминистичка критика Кјеркегорове филозофије стандардно реферира на иста места из његове продукције: приказе женског, тј. пасивног очајања из </w:t>
      </w:r>
      <w:r w:rsidRPr="004F089A">
        <w:rPr>
          <w:rFonts w:ascii="Times New Roman" w:hAnsi="Times New Roman" w:cs="Times New Roman"/>
          <w:i/>
          <w:sz w:val="24"/>
          <w:szCs w:val="24"/>
        </w:rPr>
        <w:t>Болести на смрт</w:t>
      </w:r>
      <w:r w:rsidRPr="004F089A">
        <w:rPr>
          <w:rFonts w:ascii="Times New Roman" w:hAnsi="Times New Roman" w:cs="Times New Roman"/>
          <w:sz w:val="24"/>
          <w:szCs w:val="24"/>
        </w:rPr>
        <w:t xml:space="preserve">, разлике између женског и мушког сопства из </w:t>
      </w:r>
      <w:r w:rsidRPr="004F089A">
        <w:rPr>
          <w:rFonts w:ascii="Times New Roman" w:hAnsi="Times New Roman" w:cs="Times New Roman"/>
          <w:i/>
          <w:sz w:val="24"/>
          <w:szCs w:val="24"/>
        </w:rPr>
        <w:t>Појма стрепње</w:t>
      </w:r>
      <w:r w:rsidRPr="004F089A">
        <w:rPr>
          <w:rFonts w:ascii="Times New Roman" w:hAnsi="Times New Roman" w:cs="Times New Roman"/>
          <w:sz w:val="24"/>
          <w:szCs w:val="24"/>
        </w:rPr>
        <w:t xml:space="preserve">, приказе типова пасивне егзистенције преко одабраних женских ликова из књижевности из првог тома </w:t>
      </w:r>
      <w:r w:rsidRPr="004F089A">
        <w:rPr>
          <w:rFonts w:ascii="Times New Roman" w:hAnsi="Times New Roman" w:cs="Times New Roman"/>
          <w:i/>
          <w:sz w:val="24"/>
          <w:szCs w:val="24"/>
        </w:rPr>
        <w:t>Или-или</w:t>
      </w:r>
      <w:r w:rsidRPr="004F089A">
        <w:rPr>
          <w:rFonts w:ascii="Times New Roman" w:hAnsi="Times New Roman" w:cs="Times New Roman"/>
          <w:sz w:val="24"/>
          <w:szCs w:val="24"/>
        </w:rPr>
        <w:t xml:space="preserve"> и патерналистичко позиционирање жене у браку из другог тома </w:t>
      </w:r>
      <w:r w:rsidRPr="004F089A">
        <w:rPr>
          <w:rFonts w:ascii="Times New Roman" w:hAnsi="Times New Roman" w:cs="Times New Roman"/>
          <w:i/>
          <w:sz w:val="24"/>
          <w:szCs w:val="24"/>
        </w:rPr>
        <w:t xml:space="preserve">Или-или </w:t>
      </w:r>
      <w:r w:rsidRPr="004F089A">
        <w:rPr>
          <w:rFonts w:ascii="Times New Roman" w:hAnsi="Times New Roman" w:cs="Times New Roman"/>
          <w:sz w:val="24"/>
          <w:szCs w:val="24"/>
        </w:rPr>
        <w:t xml:space="preserve">и </w:t>
      </w:r>
      <w:r w:rsidRPr="004F089A">
        <w:rPr>
          <w:rFonts w:ascii="Times New Roman" w:hAnsi="Times New Roman" w:cs="Times New Roman"/>
          <w:i/>
          <w:sz w:val="24"/>
          <w:szCs w:val="24"/>
        </w:rPr>
        <w:t>Стадијума на животном путу</w:t>
      </w:r>
      <w:r w:rsidRPr="004F089A">
        <w:rPr>
          <w:rFonts w:ascii="Times New Roman" w:hAnsi="Times New Roman" w:cs="Times New Roman"/>
          <w:sz w:val="24"/>
          <w:szCs w:val="24"/>
        </w:rPr>
        <w:t xml:space="preserve">. Но, и у оквиру феминистичке критике постоје битна разилажења у интерпретацији наведених места. Тако се она виде као несумњиви знаци Кјеркегорове мизогиније, као део ироничне тактике усмерене према данској цркви и положају жене који је она промовисала, или као подстицај упућен управо жени, читатељки, да рефлектује своје културне и историјске околности. </w:t>
      </w:r>
    </w:p>
    <w:p w:rsidR="004F089A" w:rsidRPr="004F089A" w:rsidRDefault="004F089A" w:rsidP="004F089A">
      <w:pPr>
        <w:spacing w:line="360" w:lineRule="auto"/>
        <w:ind w:firstLine="567"/>
        <w:jc w:val="both"/>
        <w:rPr>
          <w:rFonts w:ascii="Times New Roman" w:hAnsi="Times New Roman" w:cs="Times New Roman"/>
          <w:sz w:val="24"/>
          <w:szCs w:val="24"/>
        </w:rPr>
      </w:pPr>
      <w:r w:rsidRPr="004F089A">
        <w:rPr>
          <w:rFonts w:ascii="Times New Roman" w:hAnsi="Times New Roman" w:cs="Times New Roman"/>
          <w:sz w:val="24"/>
          <w:szCs w:val="24"/>
        </w:rPr>
        <w:lastRenderedPageBreak/>
        <w:t>Међутим, феминистичка критика превиђа места на којима Кјеркегор говори о одређеним појединкама: својим савременицама Томасини Гилембург и Јохани Хајберг, и Девици Марији. Из ових места се може закључити чак да је Кјеркегоров сексизам ограничен на типологије и избор метафора, док његов захтев упућен појединкама остаје подједнако ригорозан као и захтев појединцима уопште: да се за своју слободу, као и за аутентичност, изборе самe, без утапања у масовне покрете било које врсте.</w:t>
      </w:r>
    </w:p>
    <w:p w:rsidR="004F089A" w:rsidRPr="004F089A" w:rsidRDefault="004F089A" w:rsidP="004F089A">
      <w:pPr>
        <w:spacing w:line="360" w:lineRule="auto"/>
        <w:jc w:val="both"/>
        <w:rPr>
          <w:rFonts w:ascii="Times New Roman" w:hAnsi="Times New Roman" w:cs="Times New Roman"/>
          <w:sz w:val="24"/>
          <w:szCs w:val="24"/>
        </w:rPr>
      </w:pPr>
      <w:r w:rsidRPr="004F089A">
        <w:rPr>
          <w:rFonts w:ascii="Times New Roman" w:hAnsi="Times New Roman" w:cs="Times New Roman"/>
          <w:b/>
          <w:sz w:val="24"/>
          <w:szCs w:val="24"/>
        </w:rPr>
        <w:t xml:space="preserve">Кључне речи: </w:t>
      </w:r>
      <w:r w:rsidRPr="004F089A">
        <w:rPr>
          <w:rFonts w:ascii="Times New Roman" w:hAnsi="Times New Roman" w:cs="Times New Roman"/>
          <w:sz w:val="24"/>
          <w:szCs w:val="24"/>
        </w:rPr>
        <w:t>Кјеркегор, феминизам, еманципација, сопство, патријархат</w:t>
      </w:r>
    </w:p>
    <w:p w:rsidR="004F089A" w:rsidRDefault="004F089A">
      <w:pPr>
        <w:rPr>
          <w:rFonts w:ascii="Times New Roman" w:hAnsi="Times New Roman" w:cs="Times New Roman"/>
        </w:rPr>
      </w:pPr>
    </w:p>
    <w:p w:rsidR="00122647" w:rsidRPr="004F089A" w:rsidRDefault="00122647">
      <w:pPr>
        <w:rPr>
          <w:rFonts w:ascii="Times New Roman" w:hAnsi="Times New Roman" w:cs="Times New Roman"/>
        </w:rPr>
      </w:pPr>
    </w:p>
    <w:p w:rsidR="004F089A" w:rsidRPr="005D3257" w:rsidRDefault="004F089A">
      <w:pPr>
        <w:rPr>
          <w:rFonts w:ascii="Times New Roman" w:hAnsi="Times New Roman" w:cs="Times New Roman"/>
          <w:b/>
          <w:sz w:val="24"/>
          <w:szCs w:val="24"/>
        </w:rPr>
      </w:pPr>
      <w:r w:rsidRPr="005D3257">
        <w:rPr>
          <w:rFonts w:ascii="Times New Roman" w:hAnsi="Times New Roman" w:cs="Times New Roman"/>
          <w:b/>
          <w:sz w:val="24"/>
          <w:szCs w:val="24"/>
        </w:rPr>
        <w:t>Kierkegaard on Women and Emancipation</w:t>
      </w:r>
    </w:p>
    <w:p w:rsidR="004F089A" w:rsidRPr="005D3257" w:rsidRDefault="004F089A">
      <w:pPr>
        <w:rPr>
          <w:rFonts w:ascii="Times New Roman" w:hAnsi="Times New Roman" w:cs="Times New Roman"/>
          <w:b/>
          <w:sz w:val="24"/>
          <w:szCs w:val="24"/>
        </w:rPr>
      </w:pPr>
    </w:p>
    <w:p w:rsidR="004F089A" w:rsidRPr="005D3257" w:rsidRDefault="004F089A" w:rsidP="004F089A">
      <w:pPr>
        <w:jc w:val="center"/>
        <w:rPr>
          <w:rFonts w:ascii="Times New Roman" w:hAnsi="Times New Roman" w:cs="Times New Roman"/>
          <w:i/>
          <w:sz w:val="24"/>
          <w:szCs w:val="24"/>
        </w:rPr>
      </w:pPr>
      <w:r w:rsidRPr="005D3257">
        <w:rPr>
          <w:rFonts w:ascii="Times New Roman" w:hAnsi="Times New Roman" w:cs="Times New Roman"/>
          <w:i/>
          <w:sz w:val="24"/>
          <w:szCs w:val="24"/>
        </w:rPr>
        <w:t>Introduction</w:t>
      </w:r>
    </w:p>
    <w:p w:rsidR="004F089A" w:rsidRPr="005D3257" w:rsidRDefault="004F089A" w:rsidP="004F089A">
      <w:pPr>
        <w:jc w:val="center"/>
        <w:rPr>
          <w:rFonts w:ascii="Times New Roman" w:hAnsi="Times New Roman" w:cs="Times New Roman"/>
          <w:sz w:val="24"/>
          <w:szCs w:val="24"/>
        </w:rPr>
      </w:pPr>
    </w:p>
    <w:p w:rsidR="004F089A" w:rsidRPr="005D3257" w:rsidRDefault="004F089A" w:rsidP="004F089A">
      <w:pPr>
        <w:spacing w:line="360" w:lineRule="auto"/>
        <w:ind w:firstLine="567"/>
        <w:jc w:val="both"/>
        <w:rPr>
          <w:rFonts w:ascii="Times New Roman" w:hAnsi="Times New Roman" w:cs="Times New Roman"/>
          <w:sz w:val="24"/>
          <w:szCs w:val="24"/>
        </w:rPr>
      </w:pPr>
      <w:r w:rsidRPr="005D3257">
        <w:rPr>
          <w:rFonts w:ascii="Times New Roman" w:hAnsi="Times New Roman" w:cs="Times New Roman"/>
          <w:sz w:val="24"/>
          <w:szCs w:val="24"/>
        </w:rPr>
        <w:t xml:space="preserve">Women or feminity occupy a significant </w:t>
      </w:r>
      <w:r w:rsidR="00280357" w:rsidRPr="005D3257">
        <w:rPr>
          <w:rFonts w:ascii="Times New Roman" w:hAnsi="Times New Roman" w:cs="Times New Roman"/>
          <w:sz w:val="24"/>
          <w:szCs w:val="24"/>
        </w:rPr>
        <w:t>place</w:t>
      </w:r>
      <w:r w:rsidRPr="005D3257">
        <w:rPr>
          <w:rFonts w:ascii="Times New Roman" w:hAnsi="Times New Roman" w:cs="Times New Roman"/>
          <w:sz w:val="24"/>
          <w:szCs w:val="24"/>
        </w:rPr>
        <w:t xml:space="preserve"> in almost every Kierkegaard's work: in </w:t>
      </w:r>
      <w:r w:rsidRPr="005D3257">
        <w:rPr>
          <w:rFonts w:ascii="Times New Roman" w:hAnsi="Times New Roman" w:cs="Times New Roman"/>
          <w:i/>
          <w:sz w:val="24"/>
          <w:szCs w:val="24"/>
        </w:rPr>
        <w:t>The Sickness Unto Death</w:t>
      </w:r>
      <w:r w:rsidR="00280357" w:rsidRPr="005D3257">
        <w:rPr>
          <w:rFonts w:ascii="Times New Roman" w:hAnsi="Times New Roman" w:cs="Times New Roman"/>
          <w:i/>
          <w:sz w:val="24"/>
          <w:szCs w:val="24"/>
        </w:rPr>
        <w:t xml:space="preserve"> </w:t>
      </w:r>
      <w:r w:rsidR="00280357" w:rsidRPr="005D3257">
        <w:rPr>
          <w:rFonts w:ascii="Times New Roman" w:hAnsi="Times New Roman" w:cs="Times New Roman"/>
          <w:sz w:val="24"/>
          <w:szCs w:val="24"/>
        </w:rPr>
        <w:t xml:space="preserve">he speaks of feminine, ie. passive despair; in his aesthetic works (especiaaly </w:t>
      </w:r>
      <w:r w:rsidR="00280357" w:rsidRPr="005D3257">
        <w:rPr>
          <w:rFonts w:ascii="Times New Roman" w:hAnsi="Times New Roman" w:cs="Times New Roman"/>
          <w:i/>
          <w:sz w:val="24"/>
          <w:szCs w:val="24"/>
        </w:rPr>
        <w:t xml:space="preserve">EitherOr, </w:t>
      </w:r>
      <w:r w:rsidR="00280357" w:rsidRPr="005D3257">
        <w:rPr>
          <w:rFonts w:ascii="Times New Roman" w:hAnsi="Times New Roman" w:cs="Times New Roman"/>
          <w:sz w:val="24"/>
          <w:szCs w:val="24"/>
        </w:rPr>
        <w:t xml:space="preserve">vol. 1) he uses female characters from (predominantly romantic) literary works in order to illustrate certain types of existence; in </w:t>
      </w:r>
      <w:r w:rsidR="00280357" w:rsidRPr="005D3257">
        <w:rPr>
          <w:rFonts w:ascii="Times New Roman" w:hAnsi="Times New Roman" w:cs="Times New Roman"/>
          <w:i/>
          <w:sz w:val="24"/>
          <w:szCs w:val="24"/>
        </w:rPr>
        <w:t>The Concept of Anxiety</w:t>
      </w:r>
      <w:r w:rsidR="00280357" w:rsidRPr="005D3257">
        <w:rPr>
          <w:rFonts w:ascii="Times New Roman" w:hAnsi="Times New Roman" w:cs="Times New Roman"/>
          <w:sz w:val="24"/>
          <w:szCs w:val="24"/>
        </w:rPr>
        <w:t xml:space="preserve"> he emphasizes the difference between male and female self. Therefore, it is no wonder</w:t>
      </w:r>
      <w:r w:rsidR="00C543B7" w:rsidRPr="005D3257">
        <w:rPr>
          <w:rFonts w:ascii="Times New Roman" w:hAnsi="Times New Roman" w:cs="Times New Roman"/>
          <w:sz w:val="24"/>
          <w:szCs w:val="24"/>
        </w:rPr>
        <w:t xml:space="preserve"> that his philosophy received a great deal of attention of feminist theorists, the most representative of which will be expounded in this work. </w:t>
      </w:r>
      <w:r w:rsidR="00CD21F9" w:rsidRPr="005D3257">
        <w:rPr>
          <w:rFonts w:ascii="Times New Roman" w:hAnsi="Times New Roman" w:cs="Times New Roman"/>
          <w:sz w:val="24"/>
          <w:szCs w:val="24"/>
        </w:rPr>
        <w:t xml:space="preserve">The topic that will interest us the most is Kierkegaard's conception of the place of </w:t>
      </w:r>
      <w:r w:rsidR="00743718">
        <w:rPr>
          <w:rFonts w:ascii="Times New Roman" w:hAnsi="Times New Roman" w:cs="Times New Roman"/>
          <w:sz w:val="24"/>
          <w:szCs w:val="24"/>
        </w:rPr>
        <w:t xml:space="preserve">the </w:t>
      </w:r>
      <w:r w:rsidR="00CD21F9" w:rsidRPr="005D3257">
        <w:rPr>
          <w:rFonts w:ascii="Times New Roman" w:hAnsi="Times New Roman" w:cs="Times New Roman"/>
          <w:sz w:val="24"/>
          <w:szCs w:val="24"/>
        </w:rPr>
        <w:t>wom</w:t>
      </w:r>
      <w:r w:rsidR="0005121C" w:rsidRPr="005D3257">
        <w:rPr>
          <w:rFonts w:ascii="Times New Roman" w:hAnsi="Times New Roman" w:cs="Times New Roman"/>
          <w:sz w:val="24"/>
          <w:szCs w:val="24"/>
        </w:rPr>
        <w:t>a</w:t>
      </w:r>
      <w:r w:rsidR="00CD21F9" w:rsidRPr="005D3257">
        <w:rPr>
          <w:rFonts w:ascii="Times New Roman" w:hAnsi="Times New Roman" w:cs="Times New Roman"/>
          <w:sz w:val="24"/>
          <w:szCs w:val="24"/>
        </w:rPr>
        <w:t xml:space="preserve">n in community, her relation to the man, to the patriarchal structure of society and the possibility of emancipation. </w:t>
      </w:r>
      <w:r w:rsidR="0005121C" w:rsidRPr="005D3257">
        <w:rPr>
          <w:rFonts w:ascii="Times New Roman" w:hAnsi="Times New Roman" w:cs="Times New Roman"/>
          <w:sz w:val="24"/>
          <w:szCs w:val="24"/>
        </w:rPr>
        <w:t xml:space="preserve">Being that the interpretation that will be expounded here are significantly different in their assessments of Kierkegaard's relation towards women, we will subsequently offer our own interpretation, based on a work with which Kierkegaard had initially planned to end his aesthetic production: </w:t>
      </w:r>
      <w:r w:rsidR="0005121C" w:rsidRPr="005D3257">
        <w:rPr>
          <w:rFonts w:ascii="Times New Roman" w:hAnsi="Times New Roman" w:cs="Times New Roman"/>
          <w:i/>
          <w:sz w:val="24"/>
          <w:szCs w:val="24"/>
        </w:rPr>
        <w:t>The Crisis in the Life of an Actress</w:t>
      </w:r>
      <w:r w:rsidR="0005121C" w:rsidRPr="005D3257">
        <w:rPr>
          <w:rFonts w:ascii="Times New Roman" w:hAnsi="Times New Roman" w:cs="Times New Roman"/>
          <w:sz w:val="24"/>
          <w:szCs w:val="24"/>
        </w:rPr>
        <w:t xml:space="preserve"> (Kierkegaard, 1967), that is ordinarily neglected in the feminist interpretations.</w:t>
      </w:r>
    </w:p>
    <w:p w:rsidR="0005121C" w:rsidRPr="005D3257" w:rsidRDefault="0005121C" w:rsidP="004F089A">
      <w:pPr>
        <w:spacing w:line="360" w:lineRule="auto"/>
        <w:ind w:firstLine="567"/>
        <w:jc w:val="both"/>
        <w:rPr>
          <w:rFonts w:ascii="Times New Roman" w:hAnsi="Times New Roman" w:cs="Times New Roman"/>
          <w:sz w:val="24"/>
          <w:szCs w:val="24"/>
        </w:rPr>
      </w:pPr>
    </w:p>
    <w:p w:rsidR="0005121C" w:rsidRPr="005D3257" w:rsidRDefault="0005121C" w:rsidP="0005121C">
      <w:pPr>
        <w:spacing w:line="360" w:lineRule="auto"/>
        <w:jc w:val="center"/>
        <w:rPr>
          <w:rFonts w:ascii="Times New Roman" w:hAnsi="Times New Roman" w:cs="Times New Roman"/>
          <w:i/>
          <w:sz w:val="24"/>
          <w:szCs w:val="24"/>
        </w:rPr>
      </w:pPr>
      <w:r w:rsidRPr="005D3257">
        <w:rPr>
          <w:rFonts w:ascii="Times New Roman" w:hAnsi="Times New Roman" w:cs="Times New Roman"/>
          <w:i/>
          <w:sz w:val="24"/>
          <w:szCs w:val="24"/>
        </w:rPr>
        <w:t>Feminist Interpretations of Kierkegaard</w:t>
      </w:r>
    </w:p>
    <w:p w:rsidR="0005121C" w:rsidRDefault="005D3257" w:rsidP="004F089A">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Leslie A. Howe, in her text "Kierkegaard and the Feminine Self" (Howe, 1998) presents a standard feminist interpretation of Kierkegaard as a misogynous author. </w:t>
      </w:r>
      <w:r w:rsidR="005A4417">
        <w:rPr>
          <w:rFonts w:ascii="Times New Roman" w:hAnsi="Times New Roman" w:cs="Times New Roman"/>
          <w:sz w:val="24"/>
          <w:szCs w:val="24"/>
        </w:rPr>
        <w:t xml:space="preserve">His accounts of </w:t>
      </w:r>
      <w:r w:rsidR="00743718">
        <w:rPr>
          <w:rFonts w:ascii="Times New Roman" w:hAnsi="Times New Roman" w:cs="Times New Roman"/>
          <w:sz w:val="24"/>
          <w:szCs w:val="24"/>
        </w:rPr>
        <w:t xml:space="preserve">the </w:t>
      </w:r>
      <w:r w:rsidR="005A4417">
        <w:rPr>
          <w:rFonts w:ascii="Times New Roman" w:hAnsi="Times New Roman" w:cs="Times New Roman"/>
          <w:sz w:val="24"/>
          <w:szCs w:val="24"/>
        </w:rPr>
        <w:lastRenderedPageBreak/>
        <w:t xml:space="preserve">woman in </w:t>
      </w:r>
      <w:r w:rsidR="005A4417">
        <w:rPr>
          <w:rFonts w:ascii="Times New Roman" w:hAnsi="Times New Roman" w:cs="Times New Roman"/>
          <w:i/>
          <w:sz w:val="24"/>
          <w:szCs w:val="24"/>
        </w:rPr>
        <w:t>The Sickness unto Death</w:t>
      </w:r>
      <w:r w:rsidR="005A4417">
        <w:rPr>
          <w:rFonts w:ascii="Times New Roman" w:hAnsi="Times New Roman" w:cs="Times New Roman"/>
          <w:sz w:val="24"/>
          <w:szCs w:val="24"/>
        </w:rPr>
        <w:t xml:space="preserve"> and </w:t>
      </w:r>
      <w:r w:rsidR="005A4417">
        <w:rPr>
          <w:rFonts w:ascii="Times New Roman" w:hAnsi="Times New Roman" w:cs="Times New Roman"/>
          <w:i/>
          <w:sz w:val="24"/>
          <w:szCs w:val="24"/>
        </w:rPr>
        <w:t>The Concept of Anxiety</w:t>
      </w:r>
      <w:r w:rsidR="005A4417">
        <w:rPr>
          <w:rFonts w:ascii="Times New Roman" w:hAnsi="Times New Roman" w:cs="Times New Roman"/>
          <w:sz w:val="24"/>
          <w:szCs w:val="24"/>
        </w:rPr>
        <w:t>, although contradictory at times,</w:t>
      </w:r>
      <w:r w:rsidR="005A4417">
        <w:rPr>
          <w:rStyle w:val="FootnoteReference"/>
          <w:rFonts w:ascii="Times New Roman" w:hAnsi="Times New Roman" w:cs="Times New Roman"/>
          <w:sz w:val="24"/>
          <w:szCs w:val="24"/>
        </w:rPr>
        <w:footnoteReference w:id="2"/>
      </w:r>
      <w:r w:rsidR="005A4417">
        <w:rPr>
          <w:rFonts w:ascii="Times New Roman" w:hAnsi="Times New Roman" w:cs="Times New Roman"/>
          <w:sz w:val="24"/>
          <w:szCs w:val="24"/>
        </w:rPr>
        <w:t xml:space="preserve"> constantly and repeatedly connect woman with the dimensions of finitude, sensuality, relativity, lack of consciousness or reflection, which makes her unable to perform her ethical-religious task: to actualize her self, or at least achieve that to the extent available to </w:t>
      </w:r>
      <w:r w:rsidR="00743718">
        <w:rPr>
          <w:rFonts w:ascii="Times New Roman" w:hAnsi="Times New Roman" w:cs="Times New Roman"/>
          <w:sz w:val="24"/>
          <w:szCs w:val="24"/>
        </w:rPr>
        <w:t xml:space="preserve">the </w:t>
      </w:r>
      <w:r w:rsidR="005A4417">
        <w:rPr>
          <w:rFonts w:ascii="Times New Roman" w:hAnsi="Times New Roman" w:cs="Times New Roman"/>
          <w:sz w:val="24"/>
          <w:szCs w:val="24"/>
        </w:rPr>
        <w:t xml:space="preserve">man. </w:t>
      </w:r>
      <w:r w:rsidR="000F0398">
        <w:rPr>
          <w:rFonts w:ascii="Times New Roman" w:hAnsi="Times New Roman" w:cs="Times New Roman"/>
          <w:sz w:val="24"/>
          <w:szCs w:val="24"/>
        </w:rPr>
        <w:t>Although the account of forms of despair as masculine and feminine can result in an interpretation of the ideal of self as essentially</w:t>
      </w:r>
      <w:r w:rsidR="00A84C1A">
        <w:rPr>
          <w:rFonts w:ascii="Times New Roman" w:hAnsi="Times New Roman" w:cs="Times New Roman"/>
          <w:sz w:val="24"/>
          <w:szCs w:val="24"/>
        </w:rPr>
        <w:t xml:space="preserve"> androgynous, H</w:t>
      </w:r>
      <w:r w:rsidR="000F0398">
        <w:rPr>
          <w:rFonts w:ascii="Times New Roman" w:hAnsi="Times New Roman" w:cs="Times New Roman"/>
          <w:sz w:val="24"/>
          <w:szCs w:val="24"/>
        </w:rPr>
        <w:t xml:space="preserve">owe points out that Kierkegaard never presents such an ideal. </w:t>
      </w:r>
      <w:r w:rsidR="00565301">
        <w:rPr>
          <w:rFonts w:ascii="Times New Roman" w:hAnsi="Times New Roman" w:cs="Times New Roman"/>
          <w:sz w:val="24"/>
          <w:szCs w:val="24"/>
        </w:rPr>
        <w:t xml:space="preserve">Instead, he uses an essentialist metaphysics that privileges "male" capacities of reflection and self-consciousness to "female" capacities of instinct and naturalness, which places woman in an in undoubtedly inferior position, that goes even to that extent that </w:t>
      </w:r>
      <w:r w:rsidR="00743718">
        <w:rPr>
          <w:rFonts w:ascii="Times New Roman" w:hAnsi="Times New Roman" w:cs="Times New Roman"/>
          <w:sz w:val="24"/>
          <w:szCs w:val="24"/>
        </w:rPr>
        <w:t xml:space="preserve">the </w:t>
      </w:r>
      <w:r w:rsidR="00565301">
        <w:rPr>
          <w:rFonts w:ascii="Times New Roman" w:hAnsi="Times New Roman" w:cs="Times New Roman"/>
          <w:sz w:val="24"/>
          <w:szCs w:val="24"/>
        </w:rPr>
        <w:t xml:space="preserve">woman can relate to God only </w:t>
      </w:r>
      <w:r w:rsidR="00743718">
        <w:rPr>
          <w:rFonts w:ascii="Times New Roman" w:hAnsi="Times New Roman" w:cs="Times New Roman"/>
          <w:sz w:val="24"/>
          <w:szCs w:val="24"/>
        </w:rPr>
        <w:t>through the</w:t>
      </w:r>
      <w:r w:rsidR="00565301">
        <w:rPr>
          <w:rFonts w:ascii="Times New Roman" w:hAnsi="Times New Roman" w:cs="Times New Roman"/>
          <w:sz w:val="24"/>
          <w:szCs w:val="24"/>
        </w:rPr>
        <w:t xml:space="preserve"> man.</w:t>
      </w:r>
      <w:r w:rsidR="00565301">
        <w:rPr>
          <w:rStyle w:val="FootnoteReference"/>
          <w:rFonts w:ascii="Times New Roman" w:hAnsi="Times New Roman" w:cs="Times New Roman"/>
          <w:sz w:val="24"/>
          <w:szCs w:val="24"/>
        </w:rPr>
        <w:footnoteReference w:id="3"/>
      </w:r>
    </w:p>
    <w:p w:rsidR="00BC49E2" w:rsidRDefault="00BC49E2" w:rsidP="004F089A">
      <w:pPr>
        <w:spacing w:line="360" w:lineRule="auto"/>
        <w:ind w:firstLine="567"/>
        <w:jc w:val="both"/>
        <w:rPr>
          <w:rFonts w:ascii="Times New Roman" w:hAnsi="Times New Roman" w:cs="Times New Roman"/>
          <w:sz w:val="24"/>
          <w:szCs w:val="24"/>
        </w:rPr>
      </w:pPr>
    </w:p>
    <w:p w:rsidR="00565301" w:rsidRDefault="00565301" w:rsidP="00BC49E2">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(T)he self that woman ought to become is a significantly different kind of self that that which man ought to become. And this difference is more than simply one of sex: woman is not so fully developed a self as man. If, indeed, she is properly speaking a self at all, she is, in one important respect at least, a lesser self. (Howe, 1997, p.240)</w:t>
      </w:r>
    </w:p>
    <w:p w:rsidR="00CA02BA" w:rsidRDefault="00CA02BA" w:rsidP="00BC49E2">
      <w:pPr>
        <w:spacing w:line="360" w:lineRule="auto"/>
        <w:ind w:left="567" w:right="567"/>
        <w:jc w:val="both"/>
        <w:rPr>
          <w:rFonts w:ascii="Times New Roman" w:hAnsi="Times New Roman" w:cs="Times New Roman"/>
          <w:sz w:val="24"/>
          <w:szCs w:val="24"/>
        </w:rPr>
      </w:pPr>
    </w:p>
    <w:p w:rsidR="00565301" w:rsidRDefault="0051443B"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Birgit Bertung </w:t>
      </w:r>
      <w:r w:rsidR="005D1D0D">
        <w:rPr>
          <w:rFonts w:ascii="Times New Roman" w:hAnsi="Times New Roman" w:cs="Times New Roman"/>
          <w:sz w:val="24"/>
          <w:szCs w:val="24"/>
        </w:rPr>
        <w:t xml:space="preserve">suggests that Kierkegaard's stereotypization and degrading of the woman were a part of an ironic tactics pointed at the Danish Church and the position of women that it promoted. In her essay "Yes, a Woman Can Exist" (Bertung, 1997), she asserts that the concept of feminine despair that Kierkegaard adopts in </w:t>
      </w:r>
      <w:r w:rsidR="005D1D0D">
        <w:rPr>
          <w:rFonts w:ascii="Times New Roman" w:hAnsi="Times New Roman" w:cs="Times New Roman"/>
          <w:i/>
          <w:sz w:val="24"/>
          <w:szCs w:val="24"/>
        </w:rPr>
        <w:t>The Sickness unto Death</w:t>
      </w:r>
      <w:r w:rsidR="005D1D0D">
        <w:rPr>
          <w:rFonts w:ascii="Times New Roman" w:hAnsi="Times New Roman" w:cs="Times New Roman"/>
          <w:sz w:val="24"/>
          <w:szCs w:val="24"/>
        </w:rPr>
        <w:t xml:space="preserve"> does not represent the unchangeable biological characteristics of femininity, but rather empirical and cultural phenomena, and that therefore the hyperbolization </w:t>
      </w:r>
      <w:r w:rsidR="0098683E">
        <w:rPr>
          <w:rFonts w:ascii="Times New Roman" w:hAnsi="Times New Roman" w:cs="Times New Roman"/>
          <w:sz w:val="24"/>
          <w:szCs w:val="24"/>
        </w:rPr>
        <w:t>of the difference between the masculine and feminine self which places the woman in the position of "being-for-another" has a maieutical task</w:t>
      </w:r>
      <w:r w:rsidR="005D1D0D">
        <w:rPr>
          <w:rFonts w:ascii="Times New Roman" w:hAnsi="Times New Roman" w:cs="Times New Roman"/>
          <w:sz w:val="24"/>
          <w:szCs w:val="24"/>
        </w:rPr>
        <w:t xml:space="preserve"> </w:t>
      </w:r>
      <w:r w:rsidR="0098683E">
        <w:rPr>
          <w:rFonts w:ascii="Times New Roman" w:hAnsi="Times New Roman" w:cs="Times New Roman"/>
          <w:sz w:val="24"/>
          <w:szCs w:val="24"/>
        </w:rPr>
        <w:t>to incite the woman to an action of emancipation. What is in standard cases being read as misogyny in Kierkegaard's work, is read by Bertung as a non-acceptance to a stereotypical portraying of the woman as an inferior being, that society has imposed upon her.</w:t>
      </w:r>
    </w:p>
    <w:p w:rsidR="00CA02BA" w:rsidRDefault="00C1262B"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Bertung's interpretation still seems rather arbitrary. On the one hand, it finds its basis in the fact that most works it refers to are part of the pseudonymous production, and that therefore it is not fully clear whether they express Kierkegaard's own views. Still, it is also a fact that similar attitudes can be found in all phases of Kierkegaard's production. Dera Sipe</w:t>
      </w:r>
      <w:r w:rsidR="0065118E">
        <w:rPr>
          <w:rFonts w:ascii="Times New Roman" w:hAnsi="Times New Roman" w:cs="Times New Roman"/>
          <w:sz w:val="24"/>
          <w:szCs w:val="24"/>
        </w:rPr>
        <w:t xml:space="preserve"> points out that as early as in his first published text, "Another Defense of Woman's Great Abilities", written while he was a student, Kierkegaard mocks the woman's lack of philosophical talent and inclination, her nagging tendency, presented "in such a way that the naive reader might actually believe that he is praising woman for these attributes". (Sipe, 2004, p. 6) Hence, the irony he employs here is used in a completely different direction. To be sure, this is a pseudonymous work, signed by "A", that will the pseudonym used in </w:t>
      </w:r>
      <w:r w:rsidR="0065118E">
        <w:rPr>
          <w:rFonts w:ascii="Times New Roman" w:hAnsi="Times New Roman" w:cs="Times New Roman"/>
          <w:i/>
          <w:sz w:val="24"/>
          <w:szCs w:val="24"/>
        </w:rPr>
        <w:t>Either/Or</w:t>
      </w:r>
      <w:r w:rsidR="0065118E">
        <w:rPr>
          <w:rFonts w:ascii="Times New Roman" w:hAnsi="Times New Roman" w:cs="Times New Roman"/>
          <w:sz w:val="24"/>
          <w:szCs w:val="24"/>
        </w:rPr>
        <w:t>, vol. 1.</w:t>
      </w:r>
    </w:p>
    <w:p w:rsidR="0065118E" w:rsidRDefault="00904FB5"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Kierkegaard also expresses a similarly negative attitude towards women at the very end of his production, in a diary entry from 1854, where he calls the woman "a personification of egotism", a calculated trick to destroy the man as spirit (Kierkegaard, 1968, p. 92) and even that the woman "corrupts all men that marry, by reducing them to finality and mediocrity". (Kierkegaard, 1968, p. 109) Likewise, Anti-Climacus' stance that the woman participates in religion only in a secondary fashion, through the man, now receives its elaboration:</w:t>
      </w:r>
    </w:p>
    <w:p w:rsidR="00904FB5" w:rsidRDefault="00904FB5" w:rsidP="00BC49E2">
      <w:pPr>
        <w:spacing w:line="360" w:lineRule="auto"/>
        <w:ind w:firstLine="567"/>
        <w:jc w:val="both"/>
        <w:rPr>
          <w:rFonts w:ascii="Times New Roman" w:hAnsi="Times New Roman" w:cs="Times New Roman"/>
          <w:sz w:val="24"/>
          <w:szCs w:val="24"/>
        </w:rPr>
      </w:pPr>
    </w:p>
    <w:p w:rsidR="00904FB5" w:rsidRDefault="00AD5C2A" w:rsidP="00AD5C2A">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To be able to be related to the Christian task it is necessary to be a man, a man's hardness and strength are required to be able even to bear just the stress of the task.</w:t>
      </w:r>
    </w:p>
    <w:p w:rsidR="00AD5C2A" w:rsidRDefault="00AD5C2A" w:rsidP="00AD5C2A">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A good which is recognized by the evil it bring; a salvation which is recognized by its making me unhappy; a grace which is recognizable by suffering, and so on - all such things (and all Christian things are such) can be borne by no woman, she would go out of her senses is she had to be stretched in such a tension. (Kierkegaard, 1968, p. 284)</w:t>
      </w:r>
    </w:p>
    <w:p w:rsidR="00767C23" w:rsidRDefault="00767C23" w:rsidP="00AD5C2A">
      <w:pPr>
        <w:spacing w:line="360" w:lineRule="auto"/>
        <w:ind w:left="567" w:right="567"/>
        <w:jc w:val="both"/>
        <w:rPr>
          <w:rFonts w:ascii="Times New Roman" w:hAnsi="Times New Roman" w:cs="Times New Roman"/>
          <w:sz w:val="24"/>
          <w:szCs w:val="24"/>
        </w:rPr>
      </w:pPr>
    </w:p>
    <w:p w:rsidR="00AD5C2A" w:rsidRDefault="00767C23"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Being that Kierkegaard never meant to publish his journals, we cannot rightfully think that he employs irony or maieutics, like Bertung does. Julia Watkin provides us with a different interpretation of Kierkegaard's views presented in his final journal entries. </w:t>
      </w:r>
      <w:r w:rsidR="006E0CDC">
        <w:rPr>
          <w:rFonts w:ascii="Times New Roman" w:hAnsi="Times New Roman" w:cs="Times New Roman"/>
          <w:sz w:val="24"/>
          <w:szCs w:val="24"/>
        </w:rPr>
        <w:t xml:space="preserve">Supposing that in his later years, Kierkegaard is "reliving" the influence that Schopenhauer </w:t>
      </w:r>
      <w:r w:rsidR="006E0CDC">
        <w:rPr>
          <w:rFonts w:ascii="Times New Roman" w:hAnsi="Times New Roman" w:cs="Times New Roman"/>
          <w:sz w:val="24"/>
          <w:szCs w:val="24"/>
        </w:rPr>
        <w:lastRenderedPageBreak/>
        <w:t>had had on him in his youth</w:t>
      </w:r>
      <w:r w:rsidR="00DB6B51">
        <w:rPr>
          <w:rFonts w:ascii="Times New Roman" w:hAnsi="Times New Roman" w:cs="Times New Roman"/>
          <w:sz w:val="24"/>
          <w:szCs w:val="24"/>
        </w:rPr>
        <w:t xml:space="preserve">, Watkin reads Kierkegaard's journals as a pessimistic reading not only of the nature of woman, but of the entire society, without recognizing the cultural influences and pressures under which the woman's identity assumes its form. (Watkin, 1997, pp.71-2) </w:t>
      </w:r>
      <w:r w:rsidR="00094994">
        <w:rPr>
          <w:rFonts w:ascii="Times New Roman" w:hAnsi="Times New Roman" w:cs="Times New Roman"/>
          <w:sz w:val="24"/>
          <w:szCs w:val="24"/>
        </w:rPr>
        <w:t>Behind his misogyny, claims Watkin, t</w:t>
      </w:r>
      <w:r w:rsidR="00F67043">
        <w:rPr>
          <w:rFonts w:ascii="Times New Roman" w:hAnsi="Times New Roman" w:cs="Times New Roman"/>
          <w:sz w:val="24"/>
          <w:szCs w:val="24"/>
        </w:rPr>
        <w:t xml:space="preserve">here is a concealed "misogamy", the opposition to marriage that Kierkegaard fostered his entire life. </w:t>
      </w:r>
      <w:r w:rsidR="004478DD">
        <w:rPr>
          <w:rFonts w:ascii="Times New Roman" w:hAnsi="Times New Roman" w:cs="Times New Roman"/>
          <w:sz w:val="24"/>
          <w:szCs w:val="24"/>
        </w:rPr>
        <w:t xml:space="preserve">Namely, while through the character of judge William he expounds his defense of marriage from aesthetic and ascetic objections, the view that eternity is the goal of all existence causes an ambivalence </w:t>
      </w:r>
      <w:r w:rsidR="00514296">
        <w:rPr>
          <w:rFonts w:ascii="Times New Roman" w:hAnsi="Times New Roman" w:cs="Times New Roman"/>
          <w:sz w:val="24"/>
          <w:szCs w:val="24"/>
        </w:rPr>
        <w:t>in Kierkegaard's views of marriage and procreation, and that ambival</w:t>
      </w:r>
      <w:r w:rsidR="00781CCF">
        <w:rPr>
          <w:rFonts w:ascii="Times New Roman" w:hAnsi="Times New Roman" w:cs="Times New Roman"/>
          <w:sz w:val="24"/>
          <w:szCs w:val="24"/>
        </w:rPr>
        <w:t>en</w:t>
      </w:r>
      <w:r w:rsidR="00514296">
        <w:rPr>
          <w:rFonts w:ascii="Times New Roman" w:hAnsi="Times New Roman" w:cs="Times New Roman"/>
          <w:sz w:val="24"/>
          <w:szCs w:val="24"/>
        </w:rPr>
        <w:t xml:space="preserve">ce is clearly expressed in his journal entries. </w:t>
      </w:r>
      <w:r w:rsidR="00781CCF">
        <w:rPr>
          <w:rFonts w:ascii="Times New Roman" w:hAnsi="Times New Roman" w:cs="Times New Roman"/>
          <w:sz w:val="24"/>
          <w:szCs w:val="24"/>
        </w:rPr>
        <w:t>his view is not far from Pauline: although he sees his task in the ascetic renunciation of marriage, he does not think that it is a task that would necessarily fit for everyone, i.e. that it could be made a rule, so he saves these views for his unpublished journal entries. (Watkin, 1997, pp. 73-4) Celine Leon and Sylvia Walsh notice a regularity in the change of Kierkegaard's view on women:</w:t>
      </w:r>
    </w:p>
    <w:p w:rsidR="00AD5C2A" w:rsidRDefault="00AD5C2A" w:rsidP="00BC49E2">
      <w:pPr>
        <w:spacing w:line="360" w:lineRule="auto"/>
        <w:ind w:firstLine="567"/>
        <w:jc w:val="both"/>
        <w:rPr>
          <w:rFonts w:ascii="Times New Roman" w:hAnsi="Times New Roman" w:cs="Times New Roman"/>
          <w:sz w:val="24"/>
          <w:szCs w:val="24"/>
        </w:rPr>
      </w:pPr>
    </w:p>
    <w:p w:rsidR="00781CCF" w:rsidRDefault="00781CCF" w:rsidP="00781CCF">
      <w:pPr>
        <w:spacing w:line="360" w:lineRule="auto"/>
        <w:ind w:left="567" w:right="567"/>
        <w:jc w:val="both"/>
        <w:rPr>
          <w:rFonts w:ascii="Times New Roman" w:hAnsi="Times New Roman" w:cs="Times New Roman"/>
          <w:sz w:val="24"/>
          <w:szCs w:val="24"/>
        </w:rPr>
      </w:pPr>
      <w:r>
        <w:rPr>
          <w:rFonts w:ascii="Times New Roman" w:hAnsi="Times New Roman" w:cs="Times New Roman"/>
          <w:sz w:val="24"/>
          <w:szCs w:val="24"/>
        </w:rPr>
        <w:t>One can without exaggeration claim that every sphere can best be understood through a specific way it expresses intersexual relations. The first, aesthetic sphere is the sphere of seduction, where one man seduce a multitude of women, or concentrates his negative attention to one of them. The second (ethical) is involved in marriage. that is to say, a dedicated relationship with one woman. The third, religious sphere is the sphere of "the exception", the one in which the individual abstains from all contact with women. (Leon &amp; Walsh, 1997, p. 3)</w:t>
      </w:r>
    </w:p>
    <w:p w:rsidR="00781CCF" w:rsidRDefault="00781CCF" w:rsidP="00BC49E2">
      <w:pPr>
        <w:spacing w:line="360" w:lineRule="auto"/>
        <w:ind w:firstLine="567"/>
        <w:jc w:val="both"/>
        <w:rPr>
          <w:rFonts w:ascii="Times New Roman" w:hAnsi="Times New Roman" w:cs="Times New Roman"/>
          <w:sz w:val="24"/>
          <w:szCs w:val="24"/>
        </w:rPr>
      </w:pPr>
    </w:p>
    <w:p w:rsidR="00781CCF" w:rsidRDefault="00162610"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This reading provides a good basis for Watkin's interpretation. Late journal entries would be directed to "the exception", that is to say, they would be directed exclusively to Kierkegaard, and they would represent the expression of  his own views on his own task. </w:t>
      </w:r>
      <w:r w:rsidR="004D0A67">
        <w:rPr>
          <w:rFonts w:ascii="Times New Roman" w:hAnsi="Times New Roman" w:cs="Times New Roman"/>
          <w:sz w:val="24"/>
          <w:szCs w:val="24"/>
        </w:rPr>
        <w:t>The question is: what can we learn from depictions of women that Kierkegaard provides in his published works?</w:t>
      </w:r>
    </w:p>
    <w:p w:rsidR="004D0A67" w:rsidRDefault="000C6816"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Wanda Warren Berry investigates what she calls "heterosexual imagination" in </w:t>
      </w:r>
      <w:r>
        <w:rPr>
          <w:rFonts w:ascii="Times New Roman" w:hAnsi="Times New Roman" w:cs="Times New Roman"/>
          <w:i/>
          <w:sz w:val="24"/>
          <w:szCs w:val="24"/>
        </w:rPr>
        <w:t>Either/Or</w:t>
      </w:r>
      <w:r>
        <w:rPr>
          <w:rFonts w:ascii="Times New Roman" w:hAnsi="Times New Roman" w:cs="Times New Roman"/>
          <w:sz w:val="24"/>
          <w:szCs w:val="24"/>
        </w:rPr>
        <w:t xml:space="preserve">, vol. 1. </w:t>
      </w:r>
      <w:r w:rsidR="003513BD">
        <w:rPr>
          <w:rFonts w:ascii="Times New Roman" w:hAnsi="Times New Roman" w:cs="Times New Roman"/>
          <w:sz w:val="24"/>
          <w:szCs w:val="24"/>
        </w:rPr>
        <w:t xml:space="preserve">What she means by that concept is "the conscious or unconscious tendency to express dualities, polarities, or dialectics found in human existence in terms of imagery of the two sexes". (Warren Berry, 1997, p. 202) Such a tendency is apparent in most </w:t>
      </w:r>
      <w:r w:rsidR="003513BD">
        <w:rPr>
          <w:rFonts w:ascii="Times New Roman" w:hAnsi="Times New Roman" w:cs="Times New Roman"/>
          <w:sz w:val="24"/>
          <w:szCs w:val="24"/>
        </w:rPr>
        <w:lastRenderedPageBreak/>
        <w:t xml:space="preserve">Kierkegaard's works, and it is not an exaggeration to say that </w:t>
      </w:r>
      <w:r w:rsidR="003513BD">
        <w:rPr>
          <w:rFonts w:ascii="Times New Roman" w:hAnsi="Times New Roman" w:cs="Times New Roman"/>
          <w:i/>
          <w:sz w:val="24"/>
          <w:szCs w:val="24"/>
        </w:rPr>
        <w:t>Either/Or</w:t>
      </w:r>
      <w:r w:rsidR="007A6DBD">
        <w:rPr>
          <w:rFonts w:ascii="Times New Roman" w:hAnsi="Times New Roman" w:cs="Times New Roman"/>
          <w:sz w:val="24"/>
          <w:szCs w:val="24"/>
        </w:rPr>
        <w:t xml:space="preserve"> </w:t>
      </w:r>
      <w:r w:rsidR="003513BD">
        <w:rPr>
          <w:rFonts w:ascii="Times New Roman" w:hAnsi="Times New Roman" w:cs="Times New Roman"/>
          <w:sz w:val="24"/>
          <w:szCs w:val="24"/>
        </w:rPr>
        <w:t xml:space="preserve">vol. 1. uses almost that strategy alone. </w:t>
      </w:r>
      <w:r w:rsidR="004F2B42">
        <w:rPr>
          <w:rFonts w:ascii="Times New Roman" w:hAnsi="Times New Roman" w:cs="Times New Roman"/>
          <w:sz w:val="24"/>
          <w:szCs w:val="24"/>
        </w:rPr>
        <w:t>In essays "The Immediate Erotic Stages", "Silhouettes", "</w:t>
      </w:r>
      <w:r w:rsidR="00BB188D">
        <w:rPr>
          <w:rFonts w:ascii="Times New Roman" w:hAnsi="Times New Roman" w:cs="Times New Roman"/>
          <w:sz w:val="24"/>
          <w:szCs w:val="24"/>
        </w:rPr>
        <w:t>T</w:t>
      </w:r>
      <w:r w:rsidR="004F2B42">
        <w:rPr>
          <w:rFonts w:ascii="Times New Roman" w:hAnsi="Times New Roman" w:cs="Times New Roman"/>
          <w:sz w:val="24"/>
          <w:szCs w:val="24"/>
        </w:rPr>
        <w:t>he Seducer</w:t>
      </w:r>
      <w:r w:rsidR="00BB188D">
        <w:rPr>
          <w:rFonts w:ascii="Times New Roman" w:hAnsi="Times New Roman" w:cs="Times New Roman"/>
          <w:sz w:val="24"/>
          <w:szCs w:val="24"/>
        </w:rPr>
        <w:t>'s Diary</w:t>
      </w:r>
      <w:r w:rsidR="004F2B42">
        <w:rPr>
          <w:rFonts w:ascii="Times New Roman" w:hAnsi="Times New Roman" w:cs="Times New Roman"/>
          <w:sz w:val="24"/>
          <w:szCs w:val="24"/>
        </w:rPr>
        <w:t xml:space="preserve">", "First Love", and partially in "The Tragic in Ancient Drama Reflected in the Tragic in modern Drama", the image of heterosexual relations is the center of the entire project. (Warren Berry, 1997, p. 204) </w:t>
      </w:r>
      <w:r w:rsidR="00BA4FA3">
        <w:rPr>
          <w:rFonts w:ascii="Times New Roman" w:hAnsi="Times New Roman" w:cs="Times New Roman"/>
          <w:sz w:val="24"/>
          <w:szCs w:val="24"/>
        </w:rPr>
        <w:t>Warren Berry deals with stereotypes depicted in that project, male as well as female. We will concentrate on female stereotypes.</w:t>
      </w:r>
    </w:p>
    <w:p w:rsidR="00BA4FA3" w:rsidRDefault="004D0DCF" w:rsidP="00BC49E2">
      <w:pPr>
        <w:spacing w:line="360" w:lineRule="auto"/>
        <w:ind w:firstLine="567"/>
        <w:jc w:val="both"/>
        <w:rPr>
          <w:rFonts w:ascii="Times New Roman" w:hAnsi="Times New Roman" w:cs="Times New Roman"/>
          <w:sz w:val="24"/>
          <w:szCs w:val="24"/>
        </w:rPr>
      </w:pPr>
      <w:r>
        <w:rPr>
          <w:rFonts w:ascii="Times New Roman" w:hAnsi="Times New Roman" w:cs="Times New Roman"/>
          <w:sz w:val="24"/>
          <w:szCs w:val="24"/>
        </w:rPr>
        <w:t>Warren Berry starts by pointing out two things. First, we must bear in mid that all Kierkegaard's pseudonyms are men and that every representation of women, even when they speak in first person, represents but "shadows seen only through several layered screens consisting of male interpreters". (Warren Berry, 1997, p. 210)</w:t>
      </w:r>
      <w:r w:rsidR="006A243A">
        <w:rPr>
          <w:rFonts w:ascii="Times New Roman" w:hAnsi="Times New Roman" w:cs="Times New Roman"/>
          <w:sz w:val="24"/>
          <w:szCs w:val="24"/>
        </w:rPr>
        <w:t xml:space="preserve"> The final screen is, of course, Kierkegaard himself, while under it are interpretations provided by Victor Eremita, "A", and (in the case of Cordelia), Johannes the Seducer. The second thing Warren Berry points out, before moving on to the analysis "of stereotypes of female heterosexuality as a victim" is the moral character of the description of the relation between the sexes.</w:t>
      </w:r>
    </w:p>
    <w:p w:rsidR="006A243A" w:rsidRDefault="006A243A" w:rsidP="00BC49E2">
      <w:pPr>
        <w:spacing w:line="360" w:lineRule="auto"/>
        <w:ind w:firstLine="567"/>
        <w:jc w:val="both"/>
        <w:rPr>
          <w:rFonts w:ascii="Times New Roman" w:hAnsi="Times New Roman" w:cs="Times New Roman"/>
          <w:sz w:val="24"/>
          <w:szCs w:val="24"/>
        </w:rPr>
      </w:pPr>
    </w:p>
    <w:p w:rsidR="006A243A" w:rsidRDefault="00E53FA9" w:rsidP="00AD5DD5">
      <w:pPr>
        <w:spacing w:line="360" w:lineRule="auto"/>
        <w:ind w:left="567" w:right="567"/>
        <w:jc w:val="both"/>
        <w:rPr>
          <w:rFonts w:ascii="Times New Roman" w:hAnsi="Times New Roman" w:cs="Times New Roman"/>
          <w:sz w:val="24"/>
          <w:szCs w:val="24"/>
          <w:lang/>
        </w:rPr>
      </w:pPr>
      <w:r>
        <w:rPr>
          <w:rFonts w:ascii="Times New Roman" w:hAnsi="Times New Roman" w:cs="Times New Roman"/>
          <w:sz w:val="24"/>
          <w:szCs w:val="24"/>
        </w:rPr>
        <w:t>In both volumes [</w:t>
      </w:r>
      <w:r>
        <w:rPr>
          <w:rFonts w:ascii="Times New Roman" w:hAnsi="Times New Roman" w:cs="Times New Roman"/>
          <w:sz w:val="24"/>
          <w:szCs w:val="24"/>
          <w:lang/>
        </w:rPr>
        <w:t xml:space="preserve">of </w:t>
      </w:r>
      <w:r>
        <w:rPr>
          <w:rFonts w:ascii="Times New Roman" w:hAnsi="Times New Roman" w:cs="Times New Roman"/>
          <w:i/>
          <w:sz w:val="24"/>
          <w:szCs w:val="24"/>
          <w:lang/>
        </w:rPr>
        <w:t>Either</w:t>
      </w:r>
      <w:r>
        <w:rPr>
          <w:rFonts w:ascii="Times New Roman" w:hAnsi="Times New Roman" w:cs="Times New Roman"/>
          <w:i/>
          <w:sz w:val="24"/>
          <w:szCs w:val="24"/>
          <w:lang/>
        </w:rPr>
        <w:t>/</w:t>
      </w:r>
      <w:r>
        <w:rPr>
          <w:rFonts w:ascii="Times New Roman" w:hAnsi="Times New Roman" w:cs="Times New Roman"/>
          <w:i/>
          <w:sz w:val="24"/>
          <w:szCs w:val="24"/>
          <w:lang/>
        </w:rPr>
        <w:t>Or</w:t>
      </w:r>
      <w:r>
        <w:rPr>
          <w:rFonts w:ascii="Times New Roman" w:hAnsi="Times New Roman" w:cs="Times New Roman"/>
          <w:sz w:val="24"/>
          <w:szCs w:val="24"/>
        </w:rPr>
        <w:t>]</w:t>
      </w:r>
      <w:r>
        <w:rPr>
          <w:rFonts w:ascii="Times New Roman" w:hAnsi="Times New Roman" w:cs="Times New Roman"/>
          <w:sz w:val="24"/>
          <w:szCs w:val="24"/>
          <w:lang/>
        </w:rPr>
        <w:t xml:space="preserve">, the attention given to ways of managing human sexuality emphasizies the issues involved in human relations. However, this might not be recognized if one were not encouraged to take the point of view of the women involved in these stories. Without the points of view of the seduced, the seducer can be treated only in terms of his interesting irony and his metaphysical despair, rather than his impact upon other beings in the world (...) </w:t>
      </w:r>
      <w:r w:rsidR="00BB188D">
        <w:rPr>
          <w:rFonts w:ascii="Times New Roman" w:hAnsi="Times New Roman" w:cs="Times New Roman"/>
          <w:sz w:val="24"/>
          <w:szCs w:val="24"/>
          <w:lang/>
        </w:rPr>
        <w:t>It is important to notice tht "The Seducer's Diary</w:t>
      </w:r>
      <w:r w:rsidR="000C3913">
        <w:rPr>
          <w:rFonts w:ascii="Times New Roman" w:hAnsi="Times New Roman" w:cs="Times New Roman"/>
          <w:sz w:val="24"/>
          <w:szCs w:val="24"/>
          <w:lang/>
        </w:rPr>
        <w:t>" is presented only after A's prefatory interpretation of her pained letters (...) A makes sure that we enter the Diary only after attending, however briefly, to the experience of the seduced. (Warren Berry, 1997. p. 209)</w:t>
      </w:r>
    </w:p>
    <w:p w:rsidR="000C3913" w:rsidRDefault="000C3913" w:rsidP="00BC49E2">
      <w:pPr>
        <w:spacing w:line="360" w:lineRule="auto"/>
        <w:ind w:firstLine="567"/>
        <w:jc w:val="both"/>
        <w:rPr>
          <w:rFonts w:ascii="Times New Roman" w:hAnsi="Times New Roman" w:cs="Times New Roman"/>
          <w:sz w:val="24"/>
          <w:szCs w:val="24"/>
          <w:lang/>
        </w:rPr>
      </w:pPr>
    </w:p>
    <w:p w:rsidR="00C06E30" w:rsidRDefault="008A5EBB" w:rsidP="00BC49E2">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Besides that, we shouldn't forget that "the priveleged reader" to which "The Seducer's Diary" is directed is Kierkegaard's abandoned fiance regina Olsen, whom Kierkegaard wanted to repel from himself. </w:t>
      </w:r>
      <w:r w:rsidR="00C06E30">
        <w:rPr>
          <w:rFonts w:ascii="Times New Roman" w:hAnsi="Times New Roman" w:cs="Times New Roman"/>
          <w:sz w:val="24"/>
          <w:szCs w:val="24"/>
          <w:lang/>
        </w:rPr>
        <w:t xml:space="preserve">The views on women that Johannes puts forward can therefore not be considered Kierkegaard's views, but at best can be seen as the views that are held by someone </w:t>
      </w:r>
      <w:r w:rsidR="00C06E30">
        <w:rPr>
          <w:rFonts w:ascii="Times New Roman" w:hAnsi="Times New Roman" w:cs="Times New Roman"/>
          <w:sz w:val="24"/>
          <w:szCs w:val="24"/>
          <w:lang/>
        </w:rPr>
        <w:lastRenderedPageBreak/>
        <w:t>"who consiously manipulates the other to gain satisfaction of desire without respect for the intrinsic concerns of the desired object". (Warren Berry, 1997, p. 209)</w:t>
      </w:r>
    </w:p>
    <w:p w:rsidR="000C3913" w:rsidRDefault="00714F5E" w:rsidP="00BC49E2">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Wareen Berry notices that the same traits that are present in the depiction of Cordelia are also present in </w:t>
      </w:r>
      <w:r w:rsidR="00784274">
        <w:rPr>
          <w:rFonts w:ascii="Times New Roman" w:hAnsi="Times New Roman" w:cs="Times New Roman"/>
          <w:sz w:val="24"/>
          <w:szCs w:val="24"/>
          <w:lang/>
        </w:rPr>
        <w:t xml:space="preserve">the accounts of other female characters: A is, again, the male interpreter of female characters taken from plays written by men. At the end of every section in "Silhouettes", A presents every female character speaking in her name, but that too remains only "images of women's experience as created by men" and "the problematics of women's studies within patriarchal history and culture". (Warren Berry, 1997, p. 210) </w:t>
      </w:r>
      <w:r w:rsidR="00C06E30">
        <w:rPr>
          <w:rFonts w:ascii="Times New Roman" w:hAnsi="Times New Roman" w:cs="Times New Roman"/>
          <w:sz w:val="24"/>
          <w:szCs w:val="24"/>
          <w:lang/>
        </w:rPr>
        <w:t xml:space="preserve"> </w:t>
      </w:r>
      <w:r w:rsidR="00784274">
        <w:rPr>
          <w:rFonts w:ascii="Times New Roman" w:hAnsi="Times New Roman" w:cs="Times New Roman"/>
          <w:sz w:val="24"/>
          <w:szCs w:val="24"/>
          <w:lang/>
        </w:rPr>
        <w:t xml:space="preserve">However, </w:t>
      </w:r>
      <w:r w:rsidR="0053705D">
        <w:rPr>
          <w:rFonts w:ascii="Times New Roman" w:hAnsi="Times New Roman" w:cs="Times New Roman"/>
          <w:sz w:val="24"/>
          <w:szCs w:val="24"/>
          <w:lang/>
        </w:rPr>
        <w:t>in his attempt to reveal the "interior" of the female characters' experience, that remains hidden in the very plays, because women are presented only as side characters, as "shadows" of the protagonist</w:t>
      </w:r>
      <w:r w:rsidR="00A508DE">
        <w:rPr>
          <w:rFonts w:ascii="Times New Roman" w:hAnsi="Times New Roman" w:cs="Times New Roman"/>
          <w:sz w:val="24"/>
          <w:szCs w:val="24"/>
          <w:lang/>
        </w:rPr>
        <w:t xml:space="preserve">, A presupposes the existence of an inner dynamics of the female characters that they share with the men. As is the case with forms of masculine and feminine despair, so in "The Silhouettes" A presents types of existence that can be assumed by women as well as men. </w:t>
      </w:r>
      <w:r w:rsidR="0001781E">
        <w:rPr>
          <w:rFonts w:ascii="Times New Roman" w:hAnsi="Times New Roman" w:cs="Times New Roman"/>
          <w:sz w:val="24"/>
          <w:szCs w:val="24"/>
          <w:lang/>
        </w:rPr>
        <w:t xml:space="preserve">Warren Berry discerns six characteristics of these types of existence: 1) vulnerability, 2) dependency, 3) </w:t>
      </w:r>
      <w:r w:rsidR="00AC3ECF">
        <w:rPr>
          <w:rFonts w:ascii="Times New Roman" w:hAnsi="Times New Roman" w:cs="Times New Roman"/>
          <w:sz w:val="24"/>
          <w:szCs w:val="24"/>
          <w:lang/>
        </w:rPr>
        <w:t xml:space="preserve">Total identification with the loved one, 4) reactivity, incapability of direct action, 5) ambivalence and 6) self-reproach/self-abnegation. (Warren Berry, 1997, p. 214) Thanks to these characteristics, the stereotypization of female existence, as a "being-for-other" is made possible. </w:t>
      </w:r>
      <w:r w:rsidR="00541F4E">
        <w:rPr>
          <w:rFonts w:ascii="Times New Roman" w:hAnsi="Times New Roman" w:cs="Times New Roman"/>
          <w:sz w:val="24"/>
          <w:szCs w:val="24"/>
          <w:lang/>
        </w:rPr>
        <w:t xml:space="preserve">however, the other need not always be an individual, as in the case of the women from "The Silhouettes". The character of Antigone is not passive in relation to her loved one, but to "the sum of all those factors which are not subject to her will". (Warren BErry, 1997, p. 216) In her case, the predetermination remains incomplete, and A will have to elaborate its nature in the character of Emmeline from "The First Love". Emmeline is likewise not presented as a shadow, but as the center of the play. But her decisions never come from within her, but only at the demand of the men from her surroundings, and are influenced by her education, that consisted in reading novels. </w:t>
      </w:r>
      <w:r w:rsidR="002D2A9E">
        <w:rPr>
          <w:rFonts w:ascii="Times New Roman" w:hAnsi="Times New Roman" w:cs="Times New Roman"/>
          <w:sz w:val="24"/>
          <w:szCs w:val="24"/>
          <w:lang/>
        </w:rPr>
        <w:t xml:space="preserve">Warren Berry suggests that A, in his account, emphasized the place of the woman as a victim of the romanticized patriarchate. </w:t>
      </w:r>
      <w:r w:rsidR="009478EC">
        <w:rPr>
          <w:rFonts w:ascii="Times New Roman" w:hAnsi="Times New Roman" w:cs="Times New Roman"/>
          <w:sz w:val="24"/>
          <w:szCs w:val="24"/>
          <w:lang/>
        </w:rPr>
        <w:t>Moreover, his critique expands to the economic factors: he blames the wealth of her father for her infantilism and impossibility to escape her sentimental fantasies.</w:t>
      </w:r>
    </w:p>
    <w:p w:rsidR="009478EC" w:rsidRDefault="009478EC" w:rsidP="00BC49E2">
      <w:pPr>
        <w:spacing w:line="360" w:lineRule="auto"/>
        <w:ind w:firstLine="567"/>
        <w:jc w:val="both"/>
        <w:rPr>
          <w:rFonts w:ascii="Times New Roman" w:hAnsi="Times New Roman" w:cs="Times New Roman"/>
          <w:sz w:val="24"/>
          <w:szCs w:val="24"/>
          <w:lang/>
        </w:rPr>
      </w:pPr>
    </w:p>
    <w:p w:rsidR="009478EC" w:rsidRDefault="00A01E61" w:rsidP="00A01E61">
      <w:pPr>
        <w:spacing w:line="360" w:lineRule="auto"/>
        <w:ind w:left="567" w:right="567"/>
        <w:jc w:val="both"/>
        <w:rPr>
          <w:rFonts w:ascii="Times New Roman" w:hAnsi="Times New Roman" w:cs="Times New Roman"/>
          <w:sz w:val="24"/>
          <w:szCs w:val="24"/>
          <w:lang/>
        </w:rPr>
      </w:pPr>
      <w:r>
        <w:rPr>
          <w:rFonts w:ascii="Times New Roman" w:hAnsi="Times New Roman" w:cs="Times New Roman"/>
          <w:sz w:val="24"/>
          <w:szCs w:val="24"/>
          <w:lang/>
        </w:rPr>
        <w:t xml:space="preserve">Here comedy revelas the truth that specific cultures encourage immidiate, nonreflective aesthetic existence, preventing maturation through existential dialectics. Patriarchal cultures have tendded more ofgten to encourage such </w:t>
      </w:r>
      <w:r>
        <w:rPr>
          <w:rFonts w:ascii="Times New Roman" w:hAnsi="Times New Roman" w:cs="Times New Roman"/>
          <w:sz w:val="24"/>
          <w:szCs w:val="24"/>
          <w:lang/>
        </w:rPr>
        <w:lastRenderedPageBreak/>
        <w:t xml:space="preserve">infantilism in privileged-class women than in men, In cintrast to the talk of "woman's essential nature" in other parts of </w:t>
      </w:r>
      <w:r>
        <w:rPr>
          <w:rFonts w:ascii="Times New Roman" w:hAnsi="Times New Roman" w:cs="Times New Roman"/>
          <w:i/>
          <w:sz w:val="24"/>
          <w:szCs w:val="24"/>
          <w:lang/>
        </w:rPr>
        <w:t>Either/Or</w:t>
      </w:r>
      <w:r>
        <w:rPr>
          <w:rFonts w:ascii="Times New Roman" w:hAnsi="Times New Roman" w:cs="Times New Roman"/>
          <w:sz w:val="24"/>
          <w:szCs w:val="24"/>
          <w:lang/>
        </w:rPr>
        <w:t>, in this essay it is because of her nurture rather than her nature that a woman's passion is "inane", her talk is "prattle" and "drivel", and she is "infinately silly" (Warren Berry, 1997, p. 219)</w:t>
      </w:r>
    </w:p>
    <w:p w:rsidR="00A01E61" w:rsidRDefault="00A01E61" w:rsidP="00BC49E2">
      <w:pPr>
        <w:spacing w:line="360" w:lineRule="auto"/>
        <w:ind w:firstLine="567"/>
        <w:jc w:val="both"/>
        <w:rPr>
          <w:rFonts w:ascii="Times New Roman" w:hAnsi="Times New Roman" w:cs="Times New Roman"/>
          <w:sz w:val="24"/>
          <w:szCs w:val="24"/>
          <w:lang/>
        </w:rPr>
      </w:pPr>
    </w:p>
    <w:p w:rsidR="00A01E61" w:rsidRDefault="00224088" w:rsidP="00BC49E2">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Although that change does not prevent A to make Emmeline the object of his ridicule, which, according to Warren Berry, he uses in order to "deflects radical appropriation of despair over himself" (Warren Berry, p. 219), the emphasis on the difference between "essential woman's nature" and the influence of a culture that stereotypes women as well as men, and in that manner that there is already an awareness of that difference in the aesthetic sphere, will serve as a basis for Sylvia Walsh to discern </w:t>
      </w:r>
      <w:r w:rsidR="00F5346E">
        <w:rPr>
          <w:rFonts w:ascii="Times New Roman" w:hAnsi="Times New Roman" w:cs="Times New Roman"/>
          <w:sz w:val="24"/>
          <w:szCs w:val="24"/>
          <w:lang/>
        </w:rPr>
        <w:t xml:space="preserve">Kierkegaard's views on "natural" and "acquired" characteristics of the female self. </w:t>
      </w:r>
      <w:r w:rsidR="004713B6">
        <w:rPr>
          <w:rFonts w:ascii="Times New Roman" w:hAnsi="Times New Roman" w:cs="Times New Roman"/>
          <w:sz w:val="24"/>
          <w:szCs w:val="24"/>
          <w:lang/>
        </w:rPr>
        <w:t xml:space="preserve">Namely, in </w:t>
      </w:r>
      <w:r w:rsidR="004713B6">
        <w:rPr>
          <w:rFonts w:ascii="Times New Roman" w:hAnsi="Times New Roman" w:cs="Times New Roman"/>
          <w:i/>
          <w:sz w:val="24"/>
          <w:szCs w:val="24"/>
          <w:lang/>
        </w:rPr>
        <w:t>The Sickness unto Death</w:t>
      </w:r>
      <w:r w:rsidR="004713B6">
        <w:rPr>
          <w:rFonts w:ascii="Times New Roman" w:hAnsi="Times New Roman" w:cs="Times New Roman"/>
          <w:sz w:val="24"/>
          <w:szCs w:val="24"/>
          <w:lang/>
        </w:rPr>
        <w:t>, Walsh notices the differences between dedication, as a female natural trait, and losing the self in the thing she de</w:t>
      </w:r>
      <w:r w:rsidR="002515D1">
        <w:rPr>
          <w:rFonts w:ascii="Times New Roman" w:hAnsi="Times New Roman" w:cs="Times New Roman"/>
          <w:sz w:val="24"/>
          <w:szCs w:val="24"/>
          <w:lang/>
        </w:rPr>
        <w:t>d</w:t>
      </w:r>
      <w:r w:rsidR="004713B6">
        <w:rPr>
          <w:rFonts w:ascii="Times New Roman" w:hAnsi="Times New Roman" w:cs="Times New Roman"/>
          <w:sz w:val="24"/>
          <w:szCs w:val="24"/>
          <w:lang/>
        </w:rPr>
        <w:t>icates to,</w:t>
      </w:r>
      <w:r w:rsidR="004713B6">
        <w:rPr>
          <w:rStyle w:val="FootnoteReference"/>
          <w:rFonts w:ascii="Times New Roman" w:hAnsi="Times New Roman" w:cs="Times New Roman"/>
          <w:sz w:val="24"/>
          <w:szCs w:val="24"/>
          <w:lang/>
        </w:rPr>
        <w:footnoteReference w:id="4"/>
      </w:r>
      <w:r w:rsidR="004713B6">
        <w:rPr>
          <w:rFonts w:ascii="Times New Roman" w:hAnsi="Times New Roman" w:cs="Times New Roman"/>
          <w:sz w:val="24"/>
          <w:szCs w:val="24"/>
          <w:lang/>
        </w:rPr>
        <w:t xml:space="preserve"> </w:t>
      </w:r>
      <w:r w:rsidR="002515D1">
        <w:rPr>
          <w:rFonts w:ascii="Times New Roman" w:hAnsi="Times New Roman" w:cs="Times New Roman"/>
          <w:sz w:val="24"/>
          <w:szCs w:val="24"/>
          <w:lang/>
        </w:rPr>
        <w:t>as a form of dedication imposed on her by the patriarchal culture. Based on that difference, she interprets Anti-Climacus' intention as an incitement to emancipate women through the change of cultural and historical circumstances. (Walsh, 1997) However, even Walsh's reading remains incomplete due to the lack of any hints as to how such a change and emancipation might take place.</w:t>
      </w:r>
    </w:p>
    <w:p w:rsidR="002515D1" w:rsidRDefault="002515D1" w:rsidP="00BC49E2">
      <w:pPr>
        <w:spacing w:line="360" w:lineRule="auto"/>
        <w:ind w:firstLine="567"/>
        <w:jc w:val="both"/>
        <w:rPr>
          <w:rFonts w:ascii="Times New Roman" w:hAnsi="Times New Roman" w:cs="Times New Roman"/>
          <w:sz w:val="24"/>
          <w:szCs w:val="24"/>
          <w:lang/>
        </w:rPr>
      </w:pPr>
    </w:p>
    <w:p w:rsidR="002515D1" w:rsidRDefault="002515D1" w:rsidP="002515D1">
      <w:pPr>
        <w:spacing w:line="360" w:lineRule="auto"/>
        <w:jc w:val="center"/>
        <w:rPr>
          <w:rFonts w:ascii="Times New Roman" w:hAnsi="Times New Roman" w:cs="Times New Roman"/>
          <w:sz w:val="24"/>
          <w:szCs w:val="24"/>
          <w:lang/>
        </w:rPr>
      </w:pPr>
      <w:r>
        <w:rPr>
          <w:rFonts w:ascii="Times New Roman" w:hAnsi="Times New Roman" w:cs="Times New Roman"/>
          <w:i/>
          <w:sz w:val="24"/>
          <w:szCs w:val="24"/>
          <w:lang/>
        </w:rPr>
        <w:t xml:space="preserve">The Views of Kierkegaard's </w:t>
      </w:r>
      <w:r w:rsidR="003677D4">
        <w:rPr>
          <w:rFonts w:ascii="Times New Roman" w:hAnsi="Times New Roman" w:cs="Times New Roman"/>
          <w:i/>
          <w:sz w:val="24"/>
          <w:szCs w:val="24"/>
          <w:lang/>
        </w:rPr>
        <w:t xml:space="preserve">Etical </w:t>
      </w:r>
      <w:r>
        <w:rPr>
          <w:rFonts w:ascii="Times New Roman" w:hAnsi="Times New Roman" w:cs="Times New Roman"/>
          <w:i/>
          <w:sz w:val="24"/>
          <w:szCs w:val="24"/>
          <w:lang/>
        </w:rPr>
        <w:t>Pseudonymous Authors on Emancipation</w:t>
      </w:r>
    </w:p>
    <w:p w:rsidR="002515D1" w:rsidRDefault="002515D1" w:rsidP="002515D1">
      <w:pPr>
        <w:spacing w:line="360" w:lineRule="auto"/>
        <w:ind w:firstLine="567"/>
        <w:jc w:val="center"/>
        <w:rPr>
          <w:rFonts w:ascii="Times New Roman" w:hAnsi="Times New Roman" w:cs="Times New Roman"/>
          <w:sz w:val="24"/>
          <w:szCs w:val="24"/>
          <w:lang/>
        </w:rPr>
      </w:pPr>
    </w:p>
    <w:p w:rsidR="002515D1" w:rsidRDefault="003677D4"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The position of the woman seen from the ethical sphere is hardly any better. Although judge William, Kierkegaard's ethical pseudonymous author, is much more benevolent in the description of his wife, her place remains determined by the norms of the patriarchal community. In his essays "The Esthetic Validity of Marriage" and "The Balance  between the Esthetic and the Ethical in the Development of the Personality" (from </w:t>
      </w:r>
      <w:r>
        <w:rPr>
          <w:rFonts w:ascii="Times New Roman" w:hAnsi="Times New Roman" w:cs="Times New Roman"/>
          <w:i/>
          <w:sz w:val="24"/>
          <w:szCs w:val="24"/>
          <w:lang/>
        </w:rPr>
        <w:t>Either/Or</w:t>
      </w:r>
      <w:r>
        <w:rPr>
          <w:rFonts w:ascii="Times New Roman" w:hAnsi="Times New Roman" w:cs="Times New Roman"/>
          <w:sz w:val="24"/>
          <w:szCs w:val="24"/>
          <w:lang/>
        </w:rPr>
        <w:t xml:space="preserve"> vol. 2) and "Some reflections on Marriage in Answer to Objections by a Married Man" (from </w:t>
      </w:r>
      <w:r>
        <w:rPr>
          <w:rFonts w:ascii="Times New Roman" w:hAnsi="Times New Roman" w:cs="Times New Roman"/>
          <w:i/>
          <w:sz w:val="24"/>
          <w:szCs w:val="24"/>
          <w:lang/>
        </w:rPr>
        <w:t>Stages on Life's Way</w:t>
      </w:r>
      <w:r>
        <w:rPr>
          <w:rFonts w:ascii="Times New Roman" w:hAnsi="Times New Roman" w:cs="Times New Roman"/>
          <w:sz w:val="24"/>
          <w:szCs w:val="24"/>
          <w:lang/>
        </w:rPr>
        <w:t xml:space="preserve">), the judge gives an account of the difference between the man and the woman and </w:t>
      </w:r>
      <w:r>
        <w:rPr>
          <w:rFonts w:ascii="Times New Roman" w:hAnsi="Times New Roman" w:cs="Times New Roman"/>
          <w:sz w:val="24"/>
          <w:szCs w:val="24"/>
          <w:lang/>
        </w:rPr>
        <w:lastRenderedPageBreak/>
        <w:t xml:space="preserve">describes the place of the woman in a marital community. The first </w:t>
      </w:r>
      <w:r w:rsidR="00B705F6">
        <w:rPr>
          <w:rFonts w:ascii="Times New Roman" w:hAnsi="Times New Roman" w:cs="Times New Roman"/>
          <w:sz w:val="24"/>
          <w:szCs w:val="24"/>
          <w:lang/>
        </w:rPr>
        <w:t>definition of the woman he provides is not substantive, but only relational: the woman is depicted in relation to the definition of the man and the various ways he perceives her.</w:t>
      </w:r>
    </w:p>
    <w:p w:rsidR="00B705F6" w:rsidRDefault="00B705F6" w:rsidP="002515D1">
      <w:pPr>
        <w:spacing w:line="360" w:lineRule="auto"/>
        <w:ind w:firstLine="567"/>
        <w:jc w:val="both"/>
        <w:rPr>
          <w:rFonts w:ascii="Times New Roman" w:hAnsi="Times New Roman" w:cs="Times New Roman"/>
          <w:sz w:val="24"/>
          <w:szCs w:val="24"/>
          <w:lang/>
        </w:rPr>
      </w:pPr>
    </w:p>
    <w:p w:rsidR="00B705F6" w:rsidRDefault="00A37A77" w:rsidP="00A37A77">
      <w:pPr>
        <w:spacing w:line="360" w:lineRule="auto"/>
        <w:ind w:left="567" w:right="567"/>
        <w:jc w:val="both"/>
        <w:rPr>
          <w:rFonts w:ascii="Times New Roman" w:hAnsi="Times New Roman" w:cs="Times New Roman"/>
          <w:sz w:val="24"/>
          <w:szCs w:val="24"/>
          <w:lang/>
        </w:rPr>
      </w:pPr>
      <w:r>
        <w:rPr>
          <w:rFonts w:ascii="Times New Roman" w:hAnsi="Times New Roman" w:cs="Times New Roman"/>
          <w:sz w:val="24"/>
          <w:szCs w:val="24"/>
          <w:lang/>
        </w:rPr>
        <w:t>I do believe that you have not grasped in all its inwardness the essence of woman, part of which is that she is simultaneously more perfect and more imperfeect than the man. If we wish to characterize the most pure and perfect, we say "a woman"; if we wish to characterize the weakest and most fragile, we say "a woman"; if we want to convey a conception of the spirituality elevated above the sensuous, we say "a woman"; if we wish to characterize innocence in all its uplifting greatness, we say "a woman"; If we want to characterize the depressing feeling of guilt, we say "a woman". (Kierkegaard, 1987b, p. 92)</w:t>
      </w:r>
    </w:p>
    <w:p w:rsidR="00A37A77" w:rsidRDefault="00A37A77" w:rsidP="002515D1">
      <w:pPr>
        <w:spacing w:line="360" w:lineRule="auto"/>
        <w:ind w:firstLine="567"/>
        <w:jc w:val="both"/>
        <w:rPr>
          <w:rFonts w:ascii="Times New Roman" w:hAnsi="Times New Roman" w:cs="Times New Roman"/>
          <w:sz w:val="24"/>
          <w:szCs w:val="24"/>
          <w:lang/>
        </w:rPr>
      </w:pPr>
    </w:p>
    <w:p w:rsidR="00A37A77" w:rsidRDefault="00EC07AD"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After this first definition, in his next essay the judge provides a more specific definition of woman. woman is, unlike the man, a being of nature and finality and her value for the man lies exactly in that, for he is "an unstable spirit, an unhappy creature who cannot find rest". (Kierkegaard, 1987b, p. 313) Precisely because of that, the woman is a symbol of congregation, and "</w:t>
      </w:r>
      <w:r w:rsidR="00FA617A">
        <w:rPr>
          <w:rFonts w:ascii="Times New Roman" w:hAnsi="Times New Roman" w:cs="Times New Roman"/>
          <w:sz w:val="24"/>
          <w:szCs w:val="24"/>
          <w:lang/>
        </w:rPr>
        <w:t>the spirit is great distress when it does not have a congregation in which to live" (Kierkegaard, 1987b, p. 313). That way, marriage receives its "esthetic validity".</w:t>
      </w:r>
    </w:p>
    <w:p w:rsidR="00FA617A" w:rsidRDefault="000F4895"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It is precisely because of these characteristics of the woman that the judge opposes movements for emancipation of women, deeming that they are propagated by men that are "half-men", and that the only thing that can be achieved throught such emancipation is to "lift" the woman to that status of "half-man", and simultaneously corrupting her essence. If anything of that kind were to take place, says the judge in a Pygmalion-like lament, "I would sit in the market place and weep, weep like the artist whose work had been destroyed and even he could not remember what it represented". (Kierkegaard, 1987b, p. 312)</w:t>
      </w:r>
    </w:p>
    <w:p w:rsidR="000F4895" w:rsidRDefault="009C4CC0"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Still, in his essay from </w:t>
      </w:r>
      <w:r w:rsidRPr="009C4CC0">
        <w:rPr>
          <w:rFonts w:ascii="Times New Roman" w:hAnsi="Times New Roman" w:cs="Times New Roman"/>
          <w:i/>
          <w:sz w:val="24"/>
          <w:szCs w:val="24"/>
          <w:lang/>
        </w:rPr>
        <w:t>Stages on Life's Way</w:t>
      </w:r>
      <w:r>
        <w:rPr>
          <w:rFonts w:ascii="Times New Roman" w:hAnsi="Times New Roman" w:cs="Times New Roman"/>
          <w:sz w:val="24"/>
          <w:szCs w:val="24"/>
          <w:lang/>
        </w:rPr>
        <w:t>, judge William provides a significantly more positive account of the woman. Moreover, he explicitly asserts that the man and the woman have the same value.</w:t>
      </w:r>
    </w:p>
    <w:p w:rsidR="009C4CC0" w:rsidRDefault="009C4CC0" w:rsidP="002515D1">
      <w:pPr>
        <w:spacing w:line="360" w:lineRule="auto"/>
        <w:ind w:firstLine="567"/>
        <w:jc w:val="both"/>
        <w:rPr>
          <w:rFonts w:ascii="Times New Roman" w:hAnsi="Times New Roman" w:cs="Times New Roman"/>
          <w:sz w:val="24"/>
          <w:szCs w:val="24"/>
          <w:lang/>
        </w:rPr>
      </w:pPr>
    </w:p>
    <w:p w:rsidR="009C4CC0" w:rsidRDefault="00FE3AB9" w:rsidP="00FE3AB9">
      <w:pPr>
        <w:spacing w:line="360" w:lineRule="auto"/>
        <w:ind w:left="567" w:right="567"/>
        <w:jc w:val="both"/>
        <w:rPr>
          <w:rFonts w:ascii="Times New Roman" w:hAnsi="Times New Roman" w:cs="Times New Roman"/>
          <w:sz w:val="24"/>
          <w:szCs w:val="24"/>
          <w:lang/>
        </w:rPr>
      </w:pPr>
      <w:r>
        <w:rPr>
          <w:rFonts w:ascii="Times New Roman" w:hAnsi="Times New Roman" w:cs="Times New Roman"/>
          <w:sz w:val="24"/>
          <w:szCs w:val="24"/>
          <w:lang/>
        </w:rPr>
        <w:lastRenderedPageBreak/>
        <w:t>My brief and simple opinion is that woman certainly is just as good as man - period. Any more discursive elaboration of the difference between the sexes or deliberation on which sex is superior is an idle intellectual occupation for loafers a</w:t>
      </w:r>
      <w:r w:rsidR="00196871">
        <w:rPr>
          <w:rFonts w:ascii="Times New Roman" w:hAnsi="Times New Roman" w:cs="Times New Roman"/>
          <w:sz w:val="24"/>
          <w:szCs w:val="24"/>
          <w:lang/>
        </w:rPr>
        <w:t>nd bachelors. (Kierkegaard, 1988</w:t>
      </w:r>
      <w:r>
        <w:rPr>
          <w:rFonts w:ascii="Times New Roman" w:hAnsi="Times New Roman" w:cs="Times New Roman"/>
          <w:sz w:val="24"/>
          <w:szCs w:val="24"/>
          <w:lang/>
        </w:rPr>
        <w:t>, p. 124)</w:t>
      </w:r>
    </w:p>
    <w:p w:rsidR="00FE3AB9" w:rsidRDefault="00FE3AB9" w:rsidP="002515D1">
      <w:pPr>
        <w:spacing w:line="360" w:lineRule="auto"/>
        <w:ind w:firstLine="567"/>
        <w:jc w:val="both"/>
        <w:rPr>
          <w:rFonts w:ascii="Times New Roman" w:hAnsi="Times New Roman" w:cs="Times New Roman"/>
          <w:sz w:val="24"/>
          <w:szCs w:val="24"/>
          <w:lang/>
        </w:rPr>
      </w:pPr>
    </w:p>
    <w:p w:rsidR="00FE3AB9" w:rsidRPr="009C4CC0" w:rsidRDefault="00C112AD"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That does not mean, of course, that the judge thinks that the man and the woman have the same capabilities. The female soul does not possess the power of reflection as man does, her path to religiousness is direct and leads straight from immediacy, while the man has to pass through etichal development and reflection. </w:t>
      </w:r>
    </w:p>
    <w:p w:rsidR="00B705F6" w:rsidRDefault="00196871"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Still, says the judge, as a marital couple they unite in religious immediacy. (Kierkegaard, 1988, p.166) Their paths are different, but none of them has greater value than the other.</w:t>
      </w:r>
    </w:p>
    <w:p w:rsidR="00196871" w:rsidRDefault="00196871"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Although the judge thinks the woman's greatest strength lies in the ability to be a wife and a mother, and that she can support the husband with her strength, since out of love she "always wants him to be dominant"</w:t>
      </w:r>
      <w:r w:rsidR="001D3E25">
        <w:rPr>
          <w:rFonts w:ascii="Times New Roman" w:hAnsi="Times New Roman" w:cs="Times New Roman"/>
          <w:sz w:val="24"/>
          <w:szCs w:val="24"/>
          <w:lang/>
        </w:rPr>
        <w:t>, (Kierkegaard, 1988, p. 144) he points out once more the equality of both sexes</w:t>
      </w:r>
      <w:r w:rsidR="00171A75">
        <w:rPr>
          <w:rFonts w:ascii="Times New Roman" w:hAnsi="Times New Roman" w:cs="Times New Roman"/>
          <w:sz w:val="24"/>
          <w:szCs w:val="24"/>
          <w:lang/>
        </w:rPr>
        <w:t xml:space="preserve"> and adds that </w:t>
      </w:r>
      <w:r w:rsidR="004708B6">
        <w:rPr>
          <w:rFonts w:ascii="Times New Roman" w:hAnsi="Times New Roman" w:cs="Times New Roman"/>
          <w:sz w:val="24"/>
          <w:szCs w:val="24"/>
          <w:lang/>
        </w:rPr>
        <w:t xml:space="preserve">both the man and the woman must be seen in relation to </w:t>
      </w:r>
      <w:r w:rsidR="00171A75">
        <w:rPr>
          <w:rFonts w:ascii="Times New Roman" w:hAnsi="Times New Roman" w:cs="Times New Roman"/>
          <w:sz w:val="24"/>
          <w:szCs w:val="24"/>
          <w:lang/>
        </w:rPr>
        <w:t xml:space="preserve">marriage </w:t>
      </w:r>
      <w:r w:rsidR="004708B6">
        <w:rPr>
          <w:rFonts w:ascii="Times New Roman" w:hAnsi="Times New Roman" w:cs="Times New Roman"/>
          <w:sz w:val="24"/>
          <w:szCs w:val="24"/>
          <w:lang/>
        </w:rPr>
        <w:t>as a center, "for what God has joined together, what life has destined for each other, thought must also think together". (kierkegaard, 1988, p. 145) Mariage must be so concieved that it can meet her approval, Woman has an absolute veto, by which the judge safeguards her equal position in marriage. (Kierkegaard, 1988, p. 91)</w:t>
      </w:r>
    </w:p>
    <w:p w:rsidR="004708B6" w:rsidRDefault="004708B6"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Wanda Warren Berry once again points to the paternalism, romanticism and sexism present in all of the aforementioned judge's essays. (Warren Berry, 1995) What is conspicuous is that, unlike the female characters depicted in the aesthetic sphere, judge William's wife has no name and never speaks for herself (even through her husband's mouth). Speaking on behalf of what he believes to be her best interests, the judge uses paternalism to </w:t>
      </w:r>
      <w:r w:rsidR="00FE4C4C">
        <w:rPr>
          <w:rFonts w:ascii="Times New Roman" w:hAnsi="Times New Roman" w:cs="Times New Roman"/>
          <w:sz w:val="24"/>
          <w:szCs w:val="24"/>
          <w:lang/>
        </w:rPr>
        <w:t xml:space="preserve">hamper her freedom and activity. The romanticsm for which Warren Berry accuese the judge is rather the result of Kierkegaard's unfamiliarity with marriage, being that the judge himself ciriticizes the aesthetic romanticizing of the woman, creating an ideal that turns women into a "parade of fools" (Kierkegaard, 1987b, p.310) Still, according to Warren berry, his romanticizing of the difference between sexes makes his sexism a much more covert and dangerous form od discrimination of women. One of the dangers consists in the essentialistic </w:t>
      </w:r>
      <w:r w:rsidR="00FE4C4C">
        <w:rPr>
          <w:rFonts w:ascii="Times New Roman" w:hAnsi="Times New Roman" w:cs="Times New Roman"/>
          <w:sz w:val="24"/>
          <w:szCs w:val="24"/>
          <w:lang/>
        </w:rPr>
        <w:lastRenderedPageBreak/>
        <w:t>character of his writings: by speaking of the woman, he simultaneously speaks both of his wife and the universal female nature, as if there was a "</w:t>
      </w:r>
      <w:r w:rsidR="00AB14AF">
        <w:rPr>
          <w:rFonts w:ascii="Times New Roman" w:hAnsi="Times New Roman" w:cs="Times New Roman"/>
          <w:sz w:val="24"/>
          <w:szCs w:val="24"/>
          <w:lang/>
        </w:rPr>
        <w:t>golden nugget of womanness all women have as women". (Warren berry, 1995, p. 50) Celine Leon notices that woman is thereby placed before an impossible choice: either the Scylla of (forced) femininity or the Charybdis of (denied) humanity, ie. either she will choose not to exist or to exist for an other, which is just another form  of non-existing (Leon, 2008, p. 109)</w:t>
      </w:r>
    </w:p>
    <w:p w:rsidR="00AB14AF" w:rsidRDefault="00AB14AF"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Woman can escape this essentialism only in the next sphere. In </w:t>
      </w:r>
      <w:r>
        <w:rPr>
          <w:rFonts w:ascii="Times New Roman" w:hAnsi="Times New Roman" w:cs="Times New Roman"/>
          <w:i/>
          <w:sz w:val="24"/>
          <w:szCs w:val="24"/>
          <w:lang/>
        </w:rPr>
        <w:t>Fear and Trembling</w:t>
      </w:r>
      <w:r>
        <w:rPr>
          <w:rFonts w:ascii="Times New Roman" w:hAnsi="Times New Roman" w:cs="Times New Roman"/>
          <w:sz w:val="24"/>
          <w:szCs w:val="24"/>
          <w:lang/>
        </w:rPr>
        <w:t xml:space="preserve">, where the main acters are men, Johannes de Silentio </w:t>
      </w:r>
      <w:r w:rsidR="009876D1">
        <w:rPr>
          <w:rFonts w:ascii="Times New Roman" w:hAnsi="Times New Roman" w:cs="Times New Roman"/>
          <w:sz w:val="24"/>
          <w:szCs w:val="24"/>
          <w:lang/>
        </w:rPr>
        <w:t xml:space="preserve">tells a story of a woman as a knight of faith: the Virgin Mary. Slobodan Žunjić rightfully points out that Kierkegaard show more respect to the Madonna than any other protestan thinker, praizing her in his other works as well: </w:t>
      </w:r>
      <w:r w:rsidR="009876D1">
        <w:rPr>
          <w:rFonts w:ascii="Times New Roman" w:hAnsi="Times New Roman" w:cs="Times New Roman"/>
          <w:i/>
          <w:sz w:val="24"/>
          <w:szCs w:val="24"/>
          <w:lang/>
        </w:rPr>
        <w:t>Philosophical Fragments</w:t>
      </w:r>
      <w:r w:rsidR="009876D1">
        <w:rPr>
          <w:rFonts w:ascii="Times New Roman" w:hAnsi="Times New Roman" w:cs="Times New Roman"/>
          <w:sz w:val="24"/>
          <w:szCs w:val="24"/>
          <w:lang/>
        </w:rPr>
        <w:t xml:space="preserve">, </w:t>
      </w:r>
      <w:r w:rsidR="009876D1">
        <w:rPr>
          <w:rFonts w:ascii="Times New Roman" w:hAnsi="Times New Roman" w:cs="Times New Roman"/>
          <w:i/>
          <w:sz w:val="24"/>
          <w:szCs w:val="24"/>
          <w:lang/>
        </w:rPr>
        <w:t>Jugde for Yourselves!</w:t>
      </w:r>
      <w:r w:rsidR="009876D1">
        <w:rPr>
          <w:rFonts w:ascii="Times New Roman" w:hAnsi="Times New Roman" w:cs="Times New Roman"/>
          <w:sz w:val="24"/>
          <w:szCs w:val="24"/>
          <w:lang/>
        </w:rPr>
        <w:t xml:space="preserve">, </w:t>
      </w:r>
      <w:r w:rsidR="009876D1">
        <w:rPr>
          <w:rFonts w:ascii="Times New Roman" w:hAnsi="Times New Roman" w:cs="Times New Roman"/>
          <w:i/>
          <w:sz w:val="24"/>
          <w:szCs w:val="24"/>
          <w:lang/>
        </w:rPr>
        <w:t>Christian Discourses</w:t>
      </w:r>
      <w:r w:rsidR="009876D1">
        <w:rPr>
          <w:rFonts w:ascii="Times New Roman" w:hAnsi="Times New Roman" w:cs="Times New Roman"/>
          <w:sz w:val="24"/>
          <w:szCs w:val="24"/>
          <w:lang/>
        </w:rPr>
        <w:t xml:space="preserve"> etc. (Žunjić, 2002, p. 227f) Although in </w:t>
      </w:r>
      <w:r w:rsidR="009876D1">
        <w:rPr>
          <w:rFonts w:ascii="Times New Roman" w:hAnsi="Times New Roman" w:cs="Times New Roman"/>
          <w:i/>
          <w:sz w:val="24"/>
          <w:szCs w:val="24"/>
          <w:lang/>
        </w:rPr>
        <w:t>Fear and Trembling</w:t>
      </w:r>
      <w:r w:rsidR="009876D1">
        <w:rPr>
          <w:rFonts w:ascii="Times New Roman" w:hAnsi="Times New Roman" w:cs="Times New Roman"/>
          <w:sz w:val="24"/>
          <w:szCs w:val="24"/>
          <w:lang/>
        </w:rPr>
        <w:t xml:space="preserve"> he speaks of Mary on less than a page, he points out all the aspects present in Abraham as well. </w:t>
      </w:r>
      <w:r w:rsidR="005D3DB6">
        <w:rPr>
          <w:rFonts w:ascii="Times New Roman" w:hAnsi="Times New Roman" w:cs="Times New Roman"/>
          <w:sz w:val="24"/>
          <w:szCs w:val="24"/>
          <w:lang/>
        </w:rPr>
        <w:t xml:space="preserve">The reason that she is "blessed amnog the women" is not in her nature, claims de Silentio, nor in the fact that it was her that God has chosen, but rather in her faith in the paradox. </w:t>
      </w:r>
      <w:r w:rsidR="00495E76">
        <w:rPr>
          <w:rFonts w:ascii="Times New Roman" w:hAnsi="Times New Roman" w:cs="Times New Roman"/>
          <w:sz w:val="24"/>
          <w:szCs w:val="24"/>
          <w:lang/>
        </w:rPr>
        <w:t xml:space="preserve">Namely, it is quite possible that God had spoken to other girls before he did to Mary, that she was the thirs, or thirty third, or a thousand and third (as in the case of girls seduced by Don Juan), but she was the first to answer that call with faith. </w:t>
      </w:r>
      <w:r w:rsidR="00C67025">
        <w:rPr>
          <w:rFonts w:ascii="Times New Roman" w:hAnsi="Times New Roman" w:cs="Times New Roman"/>
          <w:sz w:val="24"/>
          <w:szCs w:val="24"/>
          <w:lang/>
        </w:rPr>
        <w:t>As Abraham, seen from the outside, does not differ from a murderer, so is Mary "by no means a lady idling in her finery and playing with a divine child". (Kierkegaard, 1983, p. 65) The sacrifice that is asked of her is not like Abraham's, but her faith is no less. Moreover, she has to suffer the shame and humiliation for a longer period of time.</w:t>
      </w:r>
    </w:p>
    <w:p w:rsidR="00C67025" w:rsidRDefault="00C67025"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Thus, the faith that makes Abraham and mary into exceptional individuals, higher than the universal, at the same time makes them equal - the man and the woman are as knight of faith placed side by side.</w:t>
      </w:r>
    </w:p>
    <w:p w:rsidR="00C67025" w:rsidRDefault="00C67025" w:rsidP="002515D1">
      <w:pPr>
        <w:spacing w:line="360" w:lineRule="auto"/>
        <w:ind w:firstLine="567"/>
        <w:jc w:val="both"/>
        <w:rPr>
          <w:rFonts w:ascii="Times New Roman" w:hAnsi="Times New Roman" w:cs="Times New Roman"/>
          <w:sz w:val="24"/>
          <w:szCs w:val="24"/>
          <w:lang/>
        </w:rPr>
      </w:pPr>
    </w:p>
    <w:p w:rsidR="00C67025" w:rsidRPr="00C67025" w:rsidRDefault="00C67025" w:rsidP="00C67025">
      <w:pPr>
        <w:spacing w:line="360" w:lineRule="auto"/>
        <w:jc w:val="center"/>
        <w:rPr>
          <w:rFonts w:ascii="Times New Roman" w:hAnsi="Times New Roman" w:cs="Times New Roman"/>
          <w:i/>
          <w:sz w:val="24"/>
          <w:szCs w:val="24"/>
          <w:lang/>
        </w:rPr>
      </w:pPr>
      <w:r>
        <w:rPr>
          <w:rFonts w:ascii="Times New Roman" w:hAnsi="Times New Roman" w:cs="Times New Roman"/>
          <w:i/>
          <w:sz w:val="24"/>
          <w:szCs w:val="24"/>
          <w:lang/>
        </w:rPr>
        <w:t>Kierkegaard's Thought on Woman in Signed Works</w:t>
      </w:r>
    </w:p>
    <w:p w:rsidR="00C67025" w:rsidRDefault="00C67025" w:rsidP="002515D1">
      <w:pPr>
        <w:spacing w:line="360" w:lineRule="auto"/>
        <w:ind w:firstLine="567"/>
        <w:jc w:val="both"/>
        <w:rPr>
          <w:rFonts w:ascii="Times New Roman" w:hAnsi="Times New Roman" w:cs="Times New Roman"/>
          <w:sz w:val="24"/>
          <w:szCs w:val="24"/>
          <w:lang/>
        </w:rPr>
      </w:pPr>
    </w:p>
    <w:p w:rsidR="00C67025" w:rsidRDefault="0069677D"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Does Kierkegaard really think that as a knight of faith the woman can be equal with the man? Female characters presented in his works are characters from plays or nameless notions of patrirchal husbands. Still, there are a few exceptions. In a couple of occasions, Kierkegaard states his opinion of his female contemporaries: Thomasine Gyllembourg</w:t>
      </w:r>
      <w:r w:rsidR="00D71572">
        <w:rPr>
          <w:rFonts w:ascii="Times New Roman" w:hAnsi="Times New Roman" w:cs="Times New Roman"/>
          <w:sz w:val="24"/>
          <w:szCs w:val="24"/>
          <w:lang/>
        </w:rPr>
        <w:t xml:space="preserve">, the author of the </w:t>
      </w:r>
      <w:r w:rsidR="00D71572">
        <w:rPr>
          <w:rFonts w:ascii="Times New Roman" w:hAnsi="Times New Roman" w:cs="Times New Roman"/>
          <w:sz w:val="24"/>
          <w:szCs w:val="24"/>
          <w:lang/>
        </w:rPr>
        <w:lastRenderedPageBreak/>
        <w:t xml:space="preserve">novel </w:t>
      </w:r>
      <w:r w:rsidR="00D71572">
        <w:rPr>
          <w:rFonts w:ascii="Times New Roman" w:hAnsi="Times New Roman" w:cs="Times New Roman"/>
          <w:i/>
          <w:sz w:val="24"/>
          <w:szCs w:val="24"/>
          <w:lang/>
        </w:rPr>
        <w:t xml:space="preserve">Two Ages </w:t>
      </w:r>
      <w:r w:rsidR="00930FAD">
        <w:rPr>
          <w:rFonts w:ascii="Times New Roman" w:hAnsi="Times New Roman" w:cs="Times New Roman"/>
          <w:sz w:val="24"/>
          <w:szCs w:val="24"/>
          <w:lang/>
        </w:rPr>
        <w:t xml:space="preserve">(that Kierkegaard used as an </w:t>
      </w:r>
      <w:r w:rsidR="00C10C57">
        <w:rPr>
          <w:rFonts w:ascii="Times New Roman" w:hAnsi="Times New Roman" w:cs="Times New Roman"/>
          <w:sz w:val="24"/>
          <w:szCs w:val="24"/>
          <w:lang/>
        </w:rPr>
        <w:t xml:space="preserve">occasion to write </w:t>
      </w:r>
      <w:r w:rsidR="00930FAD">
        <w:rPr>
          <w:rFonts w:ascii="Times New Roman" w:hAnsi="Times New Roman" w:cs="Times New Roman"/>
          <w:sz w:val="24"/>
          <w:szCs w:val="24"/>
          <w:lang/>
        </w:rPr>
        <w:t xml:space="preserve">his literary review in which he expounded his </w:t>
      </w:r>
      <w:r w:rsidR="00C10C57">
        <w:rPr>
          <w:rFonts w:ascii="Times New Roman" w:hAnsi="Times New Roman" w:cs="Times New Roman"/>
          <w:sz w:val="24"/>
          <w:szCs w:val="24"/>
          <w:lang/>
        </w:rPr>
        <w:t xml:space="preserve">famous </w:t>
      </w:r>
      <w:r w:rsidR="00930FAD">
        <w:rPr>
          <w:rFonts w:ascii="Times New Roman" w:hAnsi="Times New Roman" w:cs="Times New Roman"/>
          <w:sz w:val="24"/>
          <w:szCs w:val="24"/>
          <w:lang/>
        </w:rPr>
        <w:t xml:space="preserve">critique of the crowd) and mother of Johan Ludvig Heiberg, the leading Danish aesthetician, and </w:t>
      </w:r>
      <w:r w:rsidR="00930FAD" w:rsidRPr="00EF4528">
        <w:rPr>
          <w:rFonts w:ascii="Times New Roman" w:hAnsi="Times New Roman"/>
          <w:sz w:val="24"/>
          <w:szCs w:val="24"/>
          <w:lang/>
        </w:rPr>
        <w:t>Johanne Luise Pätges</w:t>
      </w:r>
      <w:r w:rsidR="00930FAD">
        <w:rPr>
          <w:rFonts w:ascii="Times New Roman" w:hAnsi="Times New Roman" w:cs="Times New Roman"/>
          <w:sz w:val="24"/>
          <w:szCs w:val="24"/>
          <w:lang/>
        </w:rPr>
        <w:t xml:space="preserve">, the leading actress of The Royal Danish Theatre and the wife of Johan Heiberg. </w:t>
      </w:r>
      <w:r w:rsidR="00283729">
        <w:rPr>
          <w:rFonts w:ascii="Times New Roman" w:hAnsi="Times New Roman" w:cs="Times New Roman"/>
          <w:sz w:val="24"/>
          <w:szCs w:val="24"/>
          <w:lang/>
        </w:rPr>
        <w:t xml:space="preserve">While Kierkegaard never expresses his respect for Gyllembourg in his published works, but only in his private correspondence. Johanne Heiberg becomes the subject of his work </w:t>
      </w:r>
      <w:r w:rsidR="00283729">
        <w:rPr>
          <w:rFonts w:ascii="Times New Roman" w:hAnsi="Times New Roman" w:cs="Times New Roman"/>
          <w:i/>
          <w:sz w:val="24"/>
          <w:szCs w:val="24"/>
          <w:lang/>
        </w:rPr>
        <w:t>Crisis in the Life of an Actress</w:t>
      </w:r>
      <w:r w:rsidR="00283729">
        <w:rPr>
          <w:rFonts w:ascii="Times New Roman" w:hAnsi="Times New Roman" w:cs="Times New Roman"/>
          <w:sz w:val="24"/>
          <w:szCs w:val="24"/>
          <w:lang/>
        </w:rPr>
        <w:t>. Under the pseudonym Inter et Inter, Kierkegaard uses some twenty pages to describe the position in which an actress finds herself after youth abandons her.</w:t>
      </w:r>
      <w:r w:rsidR="001F7E69">
        <w:rPr>
          <w:rStyle w:val="FootnoteReference"/>
          <w:rFonts w:ascii="Times New Roman" w:hAnsi="Times New Roman" w:cs="Times New Roman"/>
          <w:sz w:val="24"/>
          <w:szCs w:val="24"/>
          <w:lang/>
        </w:rPr>
        <w:footnoteReference w:id="5"/>
      </w:r>
    </w:p>
    <w:p w:rsidR="00283729" w:rsidRDefault="00283729" w:rsidP="002515D1">
      <w:pPr>
        <w:spacing w:line="360" w:lineRule="auto"/>
        <w:ind w:firstLine="567"/>
        <w:jc w:val="both"/>
        <w:rPr>
          <w:rFonts w:ascii="Times New Roman" w:hAnsi="Times New Roman" w:cs="Times New Roman"/>
          <w:sz w:val="24"/>
          <w:szCs w:val="24"/>
          <w:lang/>
        </w:rPr>
      </w:pPr>
    </w:p>
    <w:p w:rsidR="00B31E31" w:rsidRDefault="00B31E31" w:rsidP="00B31E31">
      <w:pPr>
        <w:spacing w:line="360" w:lineRule="auto"/>
        <w:ind w:left="567" w:right="567"/>
        <w:jc w:val="both"/>
        <w:rPr>
          <w:rFonts w:ascii="Times New Roman" w:hAnsi="Times New Roman" w:cs="Times New Roman"/>
          <w:sz w:val="24"/>
          <w:szCs w:val="24"/>
          <w:lang/>
        </w:rPr>
      </w:pPr>
      <w:r>
        <w:rPr>
          <w:rFonts w:ascii="Times New Roman" w:hAnsi="Times New Roman" w:cs="Times New Roman"/>
          <w:sz w:val="24"/>
          <w:szCs w:val="24"/>
          <w:lang/>
        </w:rPr>
        <w:t>The admired artist lives on, then, year after year. Just as in a bourgeois househols one knows beforehand exactly what the dinner menu will be for each day, so she knowsbeforehanda exactly what the season has in store for her (...) she is now beginning to get older. And so - oh yes, we live in a Christian land, but just as one often enough sees examples of aesthetic brutishness, so also the cannibalistic lust for human sacrifice has by no means gone out of fashion in Christendom (...) The same vulgarity has a new sixteen-year-old idol, and in her honour the former idol must feel vulgarity's full disfavour. (Kierkegaard, 1967, pp. 67-9)</w:t>
      </w:r>
    </w:p>
    <w:p w:rsidR="00B31E31" w:rsidRDefault="00B31E31" w:rsidP="002515D1">
      <w:pPr>
        <w:spacing w:line="360" w:lineRule="auto"/>
        <w:ind w:firstLine="567"/>
        <w:jc w:val="both"/>
        <w:rPr>
          <w:rFonts w:ascii="Times New Roman" w:hAnsi="Times New Roman" w:cs="Times New Roman"/>
          <w:sz w:val="24"/>
          <w:szCs w:val="24"/>
          <w:lang/>
        </w:rPr>
      </w:pPr>
    </w:p>
    <w:p w:rsidR="00B31E31" w:rsidRDefault="002C3E9C"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Even if the old actress isn't scorned, something equally bada happens to her: the public continues to appreciate her out of pity or "gallantry", as if it were doing her a favour. </w:t>
      </w:r>
      <w:r w:rsidR="00655308">
        <w:rPr>
          <w:rFonts w:ascii="Times New Roman" w:hAnsi="Times New Roman" w:cs="Times New Roman"/>
          <w:sz w:val="24"/>
          <w:szCs w:val="24"/>
          <w:lang/>
        </w:rPr>
        <w:t xml:space="preserve">Opposing that "aesthetic barbarism" of the crowd, Kierkegaard points out the value of the </w:t>
      </w:r>
      <w:r w:rsidR="0002442A">
        <w:rPr>
          <w:rFonts w:ascii="Times New Roman" w:hAnsi="Times New Roman" w:cs="Times New Roman"/>
          <w:sz w:val="24"/>
          <w:szCs w:val="24"/>
          <w:lang/>
        </w:rPr>
        <w:t>metamorphosis</w:t>
      </w:r>
      <w:r w:rsidR="00634A4E">
        <w:rPr>
          <w:rFonts w:ascii="Times New Roman" w:hAnsi="Times New Roman" w:cs="Times New Roman"/>
          <w:sz w:val="24"/>
          <w:szCs w:val="24"/>
          <w:lang/>
        </w:rPr>
        <w:t xml:space="preserve"> </w:t>
      </w:r>
      <w:r w:rsidR="00655308">
        <w:rPr>
          <w:rFonts w:ascii="Times New Roman" w:hAnsi="Times New Roman" w:cs="Times New Roman"/>
          <w:sz w:val="24"/>
          <w:szCs w:val="24"/>
          <w:lang/>
        </w:rPr>
        <w:t xml:space="preserve">the actress is going through </w:t>
      </w:r>
      <w:r w:rsidR="0002442A">
        <w:rPr>
          <w:rFonts w:ascii="Times New Roman" w:hAnsi="Times New Roman" w:cs="Times New Roman"/>
          <w:sz w:val="24"/>
          <w:szCs w:val="24"/>
          <w:lang/>
        </w:rPr>
        <w:t>in those years. One of them has aesthetic significance and consists in "</w:t>
      </w:r>
      <w:r w:rsidR="00634A4E" w:rsidRPr="00634A4E">
        <w:rPr>
          <w:rFonts w:ascii="Times New Roman" w:hAnsi="Times New Roman" w:cs="Times New Roman"/>
          <w:sz w:val="24"/>
          <w:szCs w:val="24"/>
          <w:lang/>
        </w:rPr>
        <w:t xml:space="preserve"> </w:t>
      </w:r>
      <w:r w:rsidR="00634A4E">
        <w:rPr>
          <w:rFonts w:ascii="Times New Roman" w:hAnsi="Times New Roman" w:cs="Times New Roman"/>
          <w:sz w:val="24"/>
          <w:szCs w:val="24"/>
          <w:lang/>
        </w:rPr>
        <w:t xml:space="preserve">raising to the second power", that is to say, standing in an ideal relation to the idea of youth, that had been only immediately represented before. </w:t>
      </w:r>
      <w:r w:rsidR="002E1967">
        <w:rPr>
          <w:rFonts w:ascii="Times New Roman" w:hAnsi="Times New Roman" w:cs="Times New Roman"/>
          <w:sz w:val="24"/>
          <w:szCs w:val="24"/>
          <w:lang/>
        </w:rPr>
        <w:t xml:space="preserve">The second metamorphosis is of ethical significance and consists in continuity, "winning over time", and Inter et Inter describes it in a similar fashion that judge William uses to describe the development of the ethical individual in </w:t>
      </w:r>
      <w:r w:rsidR="002E1967">
        <w:rPr>
          <w:rFonts w:ascii="Times New Roman" w:hAnsi="Times New Roman" w:cs="Times New Roman"/>
          <w:i/>
          <w:sz w:val="24"/>
          <w:szCs w:val="24"/>
          <w:lang/>
        </w:rPr>
        <w:t>Either/Or</w:t>
      </w:r>
      <w:r w:rsidR="002E1967">
        <w:rPr>
          <w:rFonts w:ascii="Times New Roman" w:hAnsi="Times New Roman" w:cs="Times New Roman"/>
          <w:sz w:val="24"/>
          <w:szCs w:val="24"/>
          <w:lang/>
        </w:rPr>
        <w:t xml:space="preserve"> vol. 2. Moreover, he points out that due to the "ethical interest" it has, the metamorphosis would to the highest degree please "a certain ethicist" - the ethicist being judge Willaim. (Kierkegaard, 1967, pp. 90-1)</w:t>
      </w:r>
    </w:p>
    <w:p w:rsidR="00805970" w:rsidRPr="00805970" w:rsidRDefault="00805970" w:rsidP="00805970">
      <w:pPr>
        <w:spacing w:line="360" w:lineRule="auto"/>
        <w:ind w:firstLine="567"/>
        <w:jc w:val="center"/>
        <w:rPr>
          <w:rFonts w:ascii="Times New Roman" w:hAnsi="Times New Roman" w:cs="Times New Roman"/>
          <w:i/>
          <w:sz w:val="24"/>
          <w:szCs w:val="24"/>
          <w:lang/>
        </w:rPr>
      </w:pPr>
      <w:r w:rsidRPr="00805970">
        <w:rPr>
          <w:rFonts w:ascii="Times New Roman" w:hAnsi="Times New Roman" w:cs="Times New Roman"/>
          <w:i/>
          <w:sz w:val="24"/>
          <w:szCs w:val="24"/>
          <w:lang/>
        </w:rPr>
        <w:lastRenderedPageBreak/>
        <w:t>Concluding Remarks</w:t>
      </w:r>
    </w:p>
    <w:p w:rsidR="00805970" w:rsidRDefault="00805970" w:rsidP="002515D1">
      <w:pPr>
        <w:spacing w:line="360" w:lineRule="auto"/>
        <w:ind w:firstLine="567"/>
        <w:jc w:val="both"/>
        <w:rPr>
          <w:rFonts w:ascii="Times New Roman" w:hAnsi="Times New Roman" w:cs="Times New Roman"/>
          <w:sz w:val="24"/>
          <w:szCs w:val="24"/>
          <w:lang/>
        </w:rPr>
      </w:pPr>
    </w:p>
    <w:p w:rsidR="002E1967" w:rsidRDefault="00805970"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We have seen on the examples of Abraham and Virgin Mary that men and women can equally be knights of faith.</w:t>
      </w:r>
      <w:r w:rsidR="00B20BC6">
        <w:rPr>
          <w:rFonts w:ascii="Times New Roman" w:hAnsi="Times New Roman" w:cs="Times New Roman"/>
          <w:sz w:val="24"/>
          <w:szCs w:val="24"/>
          <w:lang/>
        </w:rPr>
        <w:t xml:space="preserve">on the example of Johanne heiberg Kierkegaard demonstrates several significants points: firstly, that he is well aware of the pressures imposed on the woman in a patriarachal bourgeois society; objectivations, assessment based exclusively on accidental temporary features that are not under the woman's control, and finally the scorn the women often get exposed to in the end; secondly, </w:t>
      </w:r>
      <w:r w:rsidR="0025592F">
        <w:rPr>
          <w:rFonts w:ascii="Times New Roman" w:hAnsi="Times New Roman" w:cs="Times New Roman"/>
          <w:sz w:val="24"/>
          <w:szCs w:val="24"/>
          <w:lang/>
        </w:rPr>
        <w:t>that the woman is capable of the same spiritual transformation as the man, and can thereby have the same intrinsic value as him.</w:t>
      </w:r>
    </w:p>
    <w:p w:rsidR="0025592F" w:rsidRDefault="0025592F"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 xml:space="preserve">In opposing the movements for emancipation of women, Kierkegaard expresses the same attitude he has towards all mass movements. As we can see, </w:t>
      </w:r>
      <w:r w:rsidR="00AD7129">
        <w:rPr>
          <w:rFonts w:ascii="Times New Roman" w:hAnsi="Times New Roman" w:cs="Times New Roman"/>
          <w:sz w:val="24"/>
          <w:szCs w:val="24"/>
          <w:lang/>
        </w:rPr>
        <w:t xml:space="preserve">if a woman on her own, as an individual, succeeds in achieving freedom in spite of pressures from her surroundings, he will have the same respect for her as he does for the man. </w:t>
      </w:r>
      <w:r w:rsidR="00A00F73">
        <w:rPr>
          <w:rFonts w:ascii="Times New Roman" w:hAnsi="Times New Roman" w:cs="Times New Roman"/>
          <w:sz w:val="24"/>
          <w:szCs w:val="24"/>
          <w:lang/>
        </w:rPr>
        <w:t xml:space="preserve">If we can interpret that as his basic view, we can accept the feminist interpretations of his production as a "negative maieutics" that aims to incite women to action, but individual, and not mass action. </w:t>
      </w:r>
      <w:r w:rsidR="00F4113E">
        <w:rPr>
          <w:rFonts w:ascii="Times New Roman" w:hAnsi="Times New Roman" w:cs="Times New Roman"/>
          <w:sz w:val="24"/>
          <w:szCs w:val="24"/>
          <w:lang/>
        </w:rPr>
        <w:t xml:space="preserve">The views in his journals can be interpreted, as we have already mentioned, as views of "the exception", with to claims to recommend them as a rule. But how do we incorporate views of judge William in this interpretation? </w:t>
      </w:r>
      <w:r w:rsidR="00BD4663">
        <w:rPr>
          <w:rFonts w:ascii="Times New Roman" w:hAnsi="Times New Roman" w:cs="Times New Roman"/>
          <w:sz w:val="24"/>
          <w:szCs w:val="24"/>
          <w:lang/>
        </w:rPr>
        <w:t>Wanda Warren Berry offers an interesting interpretation of Kierkegaard's "</w:t>
      </w:r>
      <w:r w:rsidR="004079CA">
        <w:rPr>
          <w:rFonts w:ascii="Times New Roman" w:hAnsi="Times New Roman" w:cs="Times New Roman"/>
          <w:sz w:val="24"/>
          <w:szCs w:val="24"/>
          <w:lang/>
        </w:rPr>
        <w:t xml:space="preserve">warning to a reader of the fair sex" offered by Victor Eremita in his preface to </w:t>
      </w:r>
      <w:r w:rsidR="004079CA">
        <w:rPr>
          <w:rFonts w:ascii="Times New Roman" w:hAnsi="Times New Roman" w:cs="Times New Roman"/>
          <w:i/>
          <w:sz w:val="24"/>
          <w:szCs w:val="24"/>
          <w:lang/>
        </w:rPr>
        <w:t>Either/Or</w:t>
      </w:r>
      <w:r w:rsidR="004079CA">
        <w:rPr>
          <w:rFonts w:ascii="Times New Roman" w:hAnsi="Times New Roman" w:cs="Times New Roman"/>
          <w:sz w:val="24"/>
          <w:szCs w:val="24"/>
          <w:lang/>
        </w:rPr>
        <w:t>:</w:t>
      </w:r>
    </w:p>
    <w:p w:rsidR="004079CA" w:rsidRDefault="004079CA" w:rsidP="002515D1">
      <w:pPr>
        <w:spacing w:line="360" w:lineRule="auto"/>
        <w:ind w:firstLine="567"/>
        <w:jc w:val="both"/>
        <w:rPr>
          <w:rFonts w:ascii="Times New Roman" w:hAnsi="Times New Roman" w:cs="Times New Roman"/>
          <w:sz w:val="24"/>
          <w:szCs w:val="24"/>
          <w:lang/>
        </w:rPr>
      </w:pPr>
    </w:p>
    <w:p w:rsidR="004079CA" w:rsidRDefault="004079CA" w:rsidP="004079CA">
      <w:pPr>
        <w:spacing w:line="360" w:lineRule="auto"/>
        <w:ind w:left="567" w:right="567"/>
        <w:jc w:val="both"/>
        <w:rPr>
          <w:rFonts w:ascii="Times New Roman" w:hAnsi="Times New Roman" w:cs="Times New Roman"/>
          <w:sz w:val="24"/>
          <w:szCs w:val="24"/>
          <w:lang/>
        </w:rPr>
      </w:pPr>
      <w:r>
        <w:rPr>
          <w:rFonts w:ascii="Times New Roman" w:hAnsi="Times New Roman" w:cs="Times New Roman"/>
          <w:sz w:val="24"/>
          <w:szCs w:val="24"/>
          <w:lang/>
        </w:rPr>
        <w:t>My charming reader, in this book you will find something that you perhaps should not know, something else from which you will presumably benefit by coming to know it. read, then, the something in such a way that, having read it, you may be as one who has not read it; read the something else in such a way that, having read it, you may be as one who has not forgotten what has been read. (Kierkgaard, 1987a, pp. 14-5)</w:t>
      </w:r>
    </w:p>
    <w:p w:rsidR="004079CA" w:rsidRDefault="004079CA" w:rsidP="002515D1">
      <w:pPr>
        <w:spacing w:line="360" w:lineRule="auto"/>
        <w:ind w:firstLine="567"/>
        <w:jc w:val="both"/>
        <w:rPr>
          <w:rFonts w:ascii="Times New Roman" w:hAnsi="Times New Roman" w:cs="Times New Roman"/>
          <w:sz w:val="24"/>
          <w:szCs w:val="24"/>
          <w:lang/>
        </w:rPr>
      </w:pPr>
    </w:p>
    <w:p w:rsidR="004079CA" w:rsidRDefault="004079CA" w:rsidP="002515D1">
      <w:pPr>
        <w:spacing w:line="360" w:lineRule="auto"/>
        <w:ind w:firstLine="567"/>
        <w:jc w:val="both"/>
        <w:rPr>
          <w:rFonts w:ascii="Times New Roman" w:hAnsi="Times New Roman" w:cs="Times New Roman"/>
          <w:sz w:val="24"/>
          <w:szCs w:val="24"/>
          <w:lang/>
        </w:rPr>
      </w:pPr>
      <w:r>
        <w:rPr>
          <w:rFonts w:ascii="Times New Roman" w:hAnsi="Times New Roman" w:cs="Times New Roman"/>
          <w:sz w:val="24"/>
          <w:szCs w:val="24"/>
          <w:lang/>
        </w:rPr>
        <w:t>According to the standard interpretation, the "something else"</w:t>
      </w:r>
      <w:r w:rsidR="005F7687">
        <w:rPr>
          <w:rFonts w:ascii="Times New Roman" w:hAnsi="Times New Roman" w:cs="Times New Roman"/>
          <w:sz w:val="24"/>
          <w:szCs w:val="24"/>
          <w:lang/>
        </w:rPr>
        <w:t xml:space="preserve"> would refer to "The Seducer's Diary". however, Warren Berry (having in mind her interpretation of the other essays from </w:t>
      </w:r>
      <w:r w:rsidR="005F7687">
        <w:rPr>
          <w:rFonts w:ascii="Times New Roman" w:hAnsi="Times New Roman" w:cs="Times New Roman"/>
          <w:i/>
          <w:sz w:val="24"/>
          <w:szCs w:val="24"/>
          <w:lang/>
        </w:rPr>
        <w:t>Either/Or</w:t>
      </w:r>
      <w:r w:rsidR="005F7687">
        <w:rPr>
          <w:rFonts w:ascii="Times New Roman" w:hAnsi="Times New Roman" w:cs="Times New Roman"/>
          <w:sz w:val="24"/>
          <w:szCs w:val="24"/>
          <w:lang/>
        </w:rPr>
        <w:t xml:space="preserve"> vol. 1) suggests that Kierkegaard here refers also to the perspective of </w:t>
      </w:r>
      <w:r w:rsidR="005F7687">
        <w:rPr>
          <w:rFonts w:ascii="Times New Roman" w:hAnsi="Times New Roman" w:cs="Times New Roman"/>
          <w:sz w:val="24"/>
          <w:szCs w:val="24"/>
          <w:lang/>
        </w:rPr>
        <w:lastRenderedPageBreak/>
        <w:t>judge William</w:t>
      </w:r>
      <w:r w:rsidR="007F3C44">
        <w:rPr>
          <w:rFonts w:ascii="Times New Roman" w:hAnsi="Times New Roman" w:cs="Times New Roman"/>
          <w:sz w:val="24"/>
          <w:szCs w:val="24"/>
          <w:lang/>
        </w:rPr>
        <w:t>, who sees himself as an artist, and the woman as his artwork, a nameless partner whose nature is determined by him - out of best intentions, of course. (Warren Berry, 1995, pp. 33-4) Such an interpretation would surely back the thesis that Kierkegaard's intention is to incite his female reader to act. By disclosing the strategies of patriarchal society, Kierkegaard presents to the woman the fate that such a society has in stor</w:t>
      </w:r>
      <w:r w:rsidR="003657EC">
        <w:rPr>
          <w:rFonts w:ascii="Times New Roman" w:hAnsi="Times New Roman" w:cs="Times New Roman"/>
          <w:sz w:val="24"/>
          <w:szCs w:val="24"/>
          <w:lang/>
        </w:rPr>
        <w:t xml:space="preserve">e for her: to be the prey of the seducer, a spoiled and silly rich daughter that is the object of constant ridicule, or a respected wife who, just like Little Mermaid, had to trade her own voice for that respect. </w:t>
      </w:r>
      <w:r w:rsidR="0061074B">
        <w:rPr>
          <w:rFonts w:ascii="Times New Roman" w:hAnsi="Times New Roman" w:cs="Times New Roman"/>
          <w:sz w:val="24"/>
          <w:szCs w:val="24"/>
          <w:lang/>
        </w:rPr>
        <w:t>In any case, it would mean giving up creating her own destiny and personality. Kierkegaard certainly thinks that the female individual possesses the capability to transcend such a position. But as is the case with every individual, the decision to do so will have to be entirely hers.</w:t>
      </w:r>
    </w:p>
    <w:p w:rsidR="0061074B" w:rsidRDefault="0061074B" w:rsidP="002515D1">
      <w:pPr>
        <w:spacing w:line="360" w:lineRule="auto"/>
        <w:ind w:firstLine="567"/>
        <w:jc w:val="both"/>
        <w:rPr>
          <w:rFonts w:ascii="Times New Roman" w:hAnsi="Times New Roman" w:cs="Times New Roman"/>
          <w:sz w:val="24"/>
          <w:szCs w:val="24"/>
          <w:lang/>
        </w:rPr>
      </w:pPr>
    </w:p>
    <w:p w:rsidR="0061074B" w:rsidRDefault="0061074B" w:rsidP="002515D1">
      <w:pPr>
        <w:spacing w:line="360" w:lineRule="auto"/>
        <w:ind w:firstLine="567"/>
        <w:jc w:val="both"/>
        <w:rPr>
          <w:rFonts w:ascii="Times New Roman" w:hAnsi="Times New Roman" w:cs="Times New Roman"/>
          <w:sz w:val="24"/>
          <w:szCs w:val="24"/>
          <w:lang/>
        </w:rPr>
      </w:pPr>
    </w:p>
    <w:p w:rsidR="0061074B" w:rsidRDefault="0061074B" w:rsidP="002515D1">
      <w:pPr>
        <w:spacing w:line="360" w:lineRule="auto"/>
        <w:ind w:firstLine="567"/>
        <w:jc w:val="both"/>
        <w:rPr>
          <w:rFonts w:ascii="Times New Roman" w:hAnsi="Times New Roman" w:cs="Times New Roman"/>
          <w:b/>
          <w:sz w:val="24"/>
          <w:szCs w:val="24"/>
          <w:lang/>
        </w:rPr>
      </w:pPr>
      <w:r w:rsidRPr="0061074B">
        <w:rPr>
          <w:rFonts w:ascii="Times New Roman" w:hAnsi="Times New Roman" w:cs="Times New Roman"/>
          <w:b/>
          <w:sz w:val="24"/>
          <w:szCs w:val="24"/>
          <w:lang/>
        </w:rPr>
        <w:t>Literature</w:t>
      </w:r>
    </w:p>
    <w:p w:rsidR="0061074B" w:rsidRPr="0061074B" w:rsidRDefault="0061074B" w:rsidP="002515D1">
      <w:pPr>
        <w:spacing w:line="360" w:lineRule="auto"/>
        <w:ind w:firstLine="567"/>
        <w:jc w:val="both"/>
        <w:rPr>
          <w:rFonts w:ascii="Times New Roman" w:hAnsi="Times New Roman" w:cs="Times New Roman"/>
          <w:b/>
          <w:sz w:val="24"/>
          <w:szCs w:val="24"/>
          <w:lang/>
        </w:rPr>
      </w:pP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Bertung, B. (1997). Yes, a Woman Can Exist. In Leon, C. &amp; Walsh, S. (Prir.), </w:t>
      </w:r>
      <w:r w:rsidRPr="00EF4528">
        <w:rPr>
          <w:rFonts w:ascii="Times New Roman" w:hAnsi="Times New Roman"/>
          <w:i/>
          <w:iCs/>
          <w:noProof/>
          <w:sz w:val="24"/>
          <w:szCs w:val="24"/>
          <w:lang/>
        </w:rPr>
        <w:t>Feminist interpretation of Søren Kierkegaard</w:t>
      </w:r>
      <w:r w:rsidRPr="00EF4528">
        <w:rPr>
          <w:rFonts w:ascii="Times New Roman" w:hAnsi="Times New Roman"/>
          <w:noProof/>
          <w:sz w:val="24"/>
          <w:szCs w:val="24"/>
          <w:lang/>
        </w:rPr>
        <w:t xml:space="preserve"> (pp. 51-68). Pennsylvania State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Howe, L. (1997). Kierkegaard and the Feminine Self. In Leon, C. &amp; Walsh, S. (Prir.), </w:t>
      </w:r>
      <w:r w:rsidRPr="00EF4528">
        <w:rPr>
          <w:rFonts w:ascii="Times New Roman" w:hAnsi="Times New Roman"/>
          <w:i/>
          <w:iCs/>
          <w:noProof/>
          <w:sz w:val="24"/>
          <w:szCs w:val="24"/>
          <w:lang/>
        </w:rPr>
        <w:t>Feminist Interpretation of Søren Kierkegaard</w:t>
      </w:r>
      <w:r w:rsidRPr="00EF4528">
        <w:rPr>
          <w:rFonts w:ascii="Times New Roman" w:hAnsi="Times New Roman"/>
          <w:noProof/>
          <w:sz w:val="24"/>
          <w:szCs w:val="24"/>
          <w:lang/>
        </w:rPr>
        <w:t xml:space="preserve"> (pp. 217-48). Pennsylvania State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Kierkegaard, S. (1967). </w:t>
      </w:r>
      <w:r w:rsidRPr="00EF4528">
        <w:rPr>
          <w:rFonts w:ascii="Times New Roman" w:hAnsi="Times New Roman"/>
          <w:i/>
          <w:iCs/>
          <w:noProof/>
          <w:sz w:val="24"/>
          <w:szCs w:val="24"/>
          <w:lang/>
        </w:rPr>
        <w:t>Crisis in the Life of an Actress and Other Essays on Drama.</w:t>
      </w:r>
      <w:r w:rsidRPr="00EF4528">
        <w:rPr>
          <w:rFonts w:ascii="Times New Roman" w:hAnsi="Times New Roman"/>
          <w:noProof/>
          <w:sz w:val="24"/>
          <w:szCs w:val="24"/>
          <w:lang/>
        </w:rPr>
        <w:t xml:space="preserve"> New York and Evanston: Harper &amp; Row.</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Kierkegaard, S. (1987a). </w:t>
      </w:r>
      <w:r w:rsidRPr="00EF4528">
        <w:rPr>
          <w:rFonts w:ascii="Times New Roman" w:hAnsi="Times New Roman"/>
          <w:i/>
          <w:iCs/>
          <w:noProof/>
          <w:sz w:val="24"/>
          <w:szCs w:val="24"/>
          <w:lang/>
        </w:rPr>
        <w:t>Either/Or I.</w:t>
      </w:r>
      <w:r w:rsidRPr="00EF4528">
        <w:rPr>
          <w:rFonts w:ascii="Times New Roman" w:hAnsi="Times New Roman"/>
          <w:noProof/>
          <w:sz w:val="24"/>
          <w:szCs w:val="24"/>
          <w:lang/>
        </w:rPr>
        <w:t xml:space="preserve"> Princeton NJ: Princeton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Kierkegaard, S. (1987b). </w:t>
      </w:r>
      <w:r w:rsidRPr="00EF4528">
        <w:rPr>
          <w:rFonts w:ascii="Times New Roman" w:hAnsi="Times New Roman"/>
          <w:i/>
          <w:iCs/>
          <w:noProof/>
          <w:sz w:val="24"/>
          <w:szCs w:val="24"/>
          <w:lang/>
        </w:rPr>
        <w:t>Either/Or II.</w:t>
      </w:r>
      <w:r w:rsidRPr="00EF4528">
        <w:rPr>
          <w:rFonts w:ascii="Times New Roman" w:hAnsi="Times New Roman"/>
          <w:noProof/>
          <w:sz w:val="24"/>
          <w:szCs w:val="24"/>
          <w:lang/>
        </w:rPr>
        <w:t xml:space="preserve"> Princeton NJ: Princeton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Kierkegaard, S. (1983). </w:t>
      </w:r>
      <w:r w:rsidRPr="00EF4528">
        <w:rPr>
          <w:rFonts w:ascii="Times New Roman" w:hAnsi="Times New Roman"/>
          <w:i/>
          <w:iCs/>
          <w:noProof/>
          <w:sz w:val="24"/>
          <w:szCs w:val="24"/>
          <w:lang/>
        </w:rPr>
        <w:t>Fear and Trembling.</w:t>
      </w:r>
      <w:r w:rsidRPr="00EF4528">
        <w:rPr>
          <w:rFonts w:ascii="Times New Roman" w:hAnsi="Times New Roman"/>
          <w:noProof/>
          <w:sz w:val="24"/>
          <w:szCs w:val="24"/>
          <w:lang/>
        </w:rPr>
        <w:t xml:space="preserve"> Princeton NJ: Princeton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Kierkegaard, S. (1968). </w:t>
      </w:r>
      <w:r w:rsidRPr="00EF4528">
        <w:rPr>
          <w:rFonts w:ascii="Times New Roman" w:hAnsi="Times New Roman"/>
          <w:i/>
          <w:iCs/>
          <w:noProof/>
          <w:sz w:val="24"/>
          <w:szCs w:val="24"/>
          <w:lang/>
        </w:rPr>
        <w:t>Journals 1853-55.</w:t>
      </w:r>
      <w:r w:rsidRPr="00EF4528">
        <w:rPr>
          <w:rFonts w:ascii="Times New Roman" w:hAnsi="Times New Roman"/>
          <w:noProof/>
          <w:sz w:val="24"/>
          <w:szCs w:val="24"/>
          <w:lang/>
        </w:rPr>
        <w:t xml:space="preserve"> London: Collins.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Kierkegaard, S. (1988). </w:t>
      </w:r>
      <w:r w:rsidRPr="00EF4528">
        <w:rPr>
          <w:rFonts w:ascii="Times New Roman" w:hAnsi="Times New Roman"/>
          <w:i/>
          <w:iCs/>
          <w:noProof/>
          <w:sz w:val="24"/>
          <w:szCs w:val="24"/>
          <w:lang/>
        </w:rPr>
        <w:t>Stages on Life's Way.</w:t>
      </w:r>
      <w:r w:rsidRPr="00EF4528">
        <w:rPr>
          <w:rFonts w:ascii="Times New Roman" w:hAnsi="Times New Roman"/>
          <w:noProof/>
          <w:sz w:val="24"/>
          <w:szCs w:val="24"/>
          <w:lang/>
        </w:rPr>
        <w:t xml:space="preserve"> Princeton NJ: Princeton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lastRenderedPageBreak/>
        <w:t xml:space="preserve">Kierkegaard, S. (1980). </w:t>
      </w:r>
      <w:r w:rsidRPr="00EF4528">
        <w:rPr>
          <w:rFonts w:ascii="Times New Roman" w:hAnsi="Times New Roman"/>
          <w:i/>
          <w:iCs/>
          <w:noProof/>
          <w:sz w:val="24"/>
          <w:szCs w:val="24"/>
          <w:lang/>
        </w:rPr>
        <w:t>The Sickness Unto Death.</w:t>
      </w:r>
      <w:r w:rsidRPr="00EF4528">
        <w:rPr>
          <w:rFonts w:ascii="Times New Roman" w:hAnsi="Times New Roman"/>
          <w:noProof/>
          <w:sz w:val="24"/>
          <w:szCs w:val="24"/>
          <w:lang/>
        </w:rPr>
        <w:t xml:space="preserve"> Princeton NJ: Princeton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Leon, C. &amp; Walsh, S. (1997). Introduction. In Leon C. &amp; Walsh, S. (Prir.), </w:t>
      </w:r>
      <w:r w:rsidRPr="00EF4528">
        <w:rPr>
          <w:rFonts w:ascii="Times New Roman" w:hAnsi="Times New Roman"/>
          <w:i/>
          <w:iCs/>
          <w:noProof/>
          <w:sz w:val="24"/>
          <w:szCs w:val="24"/>
          <w:lang/>
        </w:rPr>
        <w:t>Feminist Interpretation of Søren Kierkegaard.</w:t>
      </w:r>
      <w:r w:rsidRPr="00EF4528">
        <w:rPr>
          <w:rFonts w:ascii="Times New Roman" w:hAnsi="Times New Roman"/>
          <w:noProof/>
          <w:sz w:val="24"/>
          <w:szCs w:val="24"/>
          <w:lang/>
        </w:rPr>
        <w:t xml:space="preserve"> Pennsylvania State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Leon, C. (2008). </w:t>
      </w:r>
      <w:r w:rsidRPr="00EF4528">
        <w:rPr>
          <w:rFonts w:ascii="Times New Roman" w:hAnsi="Times New Roman"/>
          <w:i/>
          <w:iCs/>
          <w:noProof/>
          <w:sz w:val="24"/>
          <w:szCs w:val="24"/>
          <w:lang/>
        </w:rPr>
        <w:t>The Neither/Nor of the Second Sex: Kierkegaard on Women, Sexual Difference and Sexual Relations.</w:t>
      </w:r>
      <w:r w:rsidRPr="00EF4528">
        <w:rPr>
          <w:rFonts w:ascii="Times New Roman" w:hAnsi="Times New Roman"/>
          <w:noProof/>
          <w:sz w:val="24"/>
          <w:szCs w:val="24"/>
          <w:lang/>
        </w:rPr>
        <w:t xml:space="preserve"> Macon, GA: Mercer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Sipe, D. (2004). </w:t>
      </w:r>
      <w:r w:rsidRPr="00EF4528">
        <w:rPr>
          <w:rFonts w:ascii="Times New Roman" w:hAnsi="Times New Roman"/>
          <w:i/>
          <w:iCs/>
          <w:noProof/>
          <w:sz w:val="24"/>
          <w:szCs w:val="24"/>
          <w:lang/>
        </w:rPr>
        <w:t>Kierkegaard and Feminism: A Paradoxical Friendship</w:t>
      </w:r>
      <w:r w:rsidRPr="00EF4528">
        <w:rPr>
          <w:rFonts w:ascii="Times New Roman" w:hAnsi="Times New Roman"/>
          <w:noProof/>
          <w:sz w:val="24"/>
          <w:szCs w:val="24"/>
          <w:lang/>
        </w:rPr>
        <w:t>. Retrieved 3.10.2014, from http://concept.journals.villanova.edu/article/view/146/117</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Walsh, S. (1997). On "Feminine" and "Masculine" Forms of Despair. In Leon, C. &amp; Walsh, S. (Prir.), </w:t>
      </w:r>
      <w:r w:rsidRPr="00EF4528">
        <w:rPr>
          <w:rFonts w:ascii="Times New Roman" w:hAnsi="Times New Roman"/>
          <w:i/>
          <w:iCs/>
          <w:noProof/>
          <w:sz w:val="24"/>
          <w:szCs w:val="24"/>
          <w:lang/>
        </w:rPr>
        <w:t>Feminist Interpretations of Søren Kierkegaard</w:t>
      </w:r>
      <w:r w:rsidRPr="00EF4528">
        <w:rPr>
          <w:rFonts w:ascii="Times New Roman" w:hAnsi="Times New Roman"/>
          <w:noProof/>
          <w:sz w:val="24"/>
          <w:szCs w:val="24"/>
          <w:lang/>
        </w:rPr>
        <w:t xml:space="preserve"> (pp. 203-16). Pennsylvania State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Warren Berry, W. (1995). </w:t>
      </w:r>
      <w:r>
        <w:rPr>
          <w:rFonts w:ascii="Times New Roman" w:hAnsi="Times New Roman"/>
          <w:noProof/>
          <w:sz w:val="24"/>
          <w:szCs w:val="24"/>
          <w:lang/>
        </w:rPr>
        <w:t>"</w:t>
      </w:r>
      <w:r w:rsidRPr="00EF4528">
        <w:rPr>
          <w:rFonts w:ascii="Times New Roman" w:hAnsi="Times New Roman"/>
          <w:noProof/>
          <w:sz w:val="24"/>
          <w:szCs w:val="24"/>
          <w:lang/>
        </w:rPr>
        <w:t xml:space="preserve">: Existentialism and Essentialism in Either/Or, Part II. In R. L. Perkins (Prir.), </w:t>
      </w:r>
      <w:r w:rsidRPr="00EF4528">
        <w:rPr>
          <w:rFonts w:ascii="Times New Roman" w:hAnsi="Times New Roman"/>
          <w:i/>
          <w:iCs/>
          <w:noProof/>
          <w:sz w:val="24"/>
          <w:szCs w:val="24"/>
          <w:lang/>
        </w:rPr>
        <w:t>International Kierkegaard Commentary, Either/Or, Part II</w:t>
      </w:r>
      <w:r w:rsidRPr="00EF4528">
        <w:rPr>
          <w:rFonts w:ascii="Times New Roman" w:hAnsi="Times New Roman"/>
          <w:noProof/>
          <w:sz w:val="24"/>
          <w:szCs w:val="24"/>
          <w:lang/>
        </w:rPr>
        <w:t xml:space="preserve"> (pp. 33-58). Macon, GA: Mercer University Press.</w:t>
      </w:r>
    </w:p>
    <w:p w:rsidR="0061074B" w:rsidRPr="00F9461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Warren Berry, W. (1997). The Heterosexual Imagination and Aesthetic Existence in Kierkegaard's Either/Or, Part I. In R. L. Perkins (Prir.), </w:t>
      </w:r>
      <w:r w:rsidRPr="00EF4528">
        <w:rPr>
          <w:rFonts w:ascii="Times New Roman" w:hAnsi="Times New Roman"/>
          <w:i/>
          <w:iCs/>
          <w:noProof/>
          <w:sz w:val="24"/>
          <w:szCs w:val="24"/>
          <w:lang/>
        </w:rPr>
        <w:t>International Kierkegaard Commentary, Either/Or, Part I</w:t>
      </w:r>
      <w:r w:rsidRPr="00EF4528">
        <w:rPr>
          <w:rFonts w:ascii="Times New Roman" w:hAnsi="Times New Roman"/>
          <w:noProof/>
          <w:sz w:val="24"/>
          <w:szCs w:val="24"/>
          <w:lang/>
        </w:rPr>
        <w:t xml:space="preserve"> (pp. </w:t>
      </w:r>
      <w:r>
        <w:rPr>
          <w:rFonts w:ascii="Times New Roman" w:hAnsi="Times New Roman"/>
          <w:noProof/>
          <w:sz w:val="24"/>
          <w:szCs w:val="24"/>
          <w:lang/>
        </w:rPr>
        <w:t>201-228.</w:t>
      </w:r>
      <w:r w:rsidRPr="00EF4528">
        <w:rPr>
          <w:rFonts w:ascii="Times New Roman" w:hAnsi="Times New Roman"/>
          <w:noProof/>
          <w:sz w:val="24"/>
          <w:szCs w:val="24"/>
          <w:lang/>
        </w:rPr>
        <w:t>). Macon, GA: Mercer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Watkin, J. (1997). The Logic of Søren Kierkegaard's Misogyny, 1854-5. In Leon, C. &amp; Walsh, S., </w:t>
      </w:r>
      <w:r w:rsidRPr="00EF4528">
        <w:rPr>
          <w:rFonts w:ascii="Times New Roman" w:hAnsi="Times New Roman"/>
          <w:i/>
          <w:iCs/>
          <w:noProof/>
          <w:sz w:val="24"/>
          <w:szCs w:val="24"/>
          <w:lang/>
        </w:rPr>
        <w:t>Feminist Interpretation of Søren Kierkegaard</w:t>
      </w:r>
      <w:r w:rsidRPr="00EF4528">
        <w:rPr>
          <w:rFonts w:ascii="Times New Roman" w:hAnsi="Times New Roman"/>
          <w:noProof/>
          <w:sz w:val="24"/>
          <w:szCs w:val="24"/>
          <w:lang/>
        </w:rPr>
        <w:t xml:space="preserve"> (pp. 69-82). Pennsylvania State University Press.</w:t>
      </w:r>
    </w:p>
    <w:p w:rsidR="0061074B" w:rsidRPr="00EF4528" w:rsidRDefault="0061074B" w:rsidP="0061074B">
      <w:pPr>
        <w:pStyle w:val="Bibliography"/>
        <w:spacing w:line="360" w:lineRule="auto"/>
        <w:ind w:left="567" w:hanging="567"/>
        <w:jc w:val="both"/>
        <w:rPr>
          <w:rFonts w:ascii="Times New Roman" w:hAnsi="Times New Roman"/>
          <w:noProof/>
          <w:sz w:val="24"/>
          <w:szCs w:val="24"/>
          <w:lang/>
        </w:rPr>
      </w:pPr>
      <w:r w:rsidRPr="00EF4528">
        <w:rPr>
          <w:rFonts w:ascii="Times New Roman" w:hAnsi="Times New Roman"/>
          <w:noProof/>
          <w:sz w:val="24"/>
          <w:szCs w:val="24"/>
          <w:lang/>
        </w:rPr>
        <w:t xml:space="preserve">Жуњић, С. (2002). Дијалектичка лирика страха и дрхтања [Dialectic Lyric of Fear and Trembling]. у С. Кјеркегор, </w:t>
      </w:r>
      <w:r w:rsidRPr="00EF4528">
        <w:rPr>
          <w:rFonts w:ascii="Times New Roman" w:hAnsi="Times New Roman"/>
          <w:i/>
          <w:iCs/>
          <w:noProof/>
          <w:sz w:val="24"/>
          <w:szCs w:val="24"/>
          <w:lang/>
        </w:rPr>
        <w:t>Страх и дрхтање</w:t>
      </w:r>
      <w:r w:rsidRPr="00EF4528">
        <w:rPr>
          <w:rFonts w:ascii="Times New Roman" w:hAnsi="Times New Roman"/>
          <w:noProof/>
          <w:sz w:val="24"/>
          <w:szCs w:val="24"/>
          <w:lang/>
        </w:rPr>
        <w:t xml:space="preserve"> [Fear and Trembling] (pp. 5-140). Београд: Плато.</w:t>
      </w:r>
    </w:p>
    <w:p w:rsidR="004079CA" w:rsidRDefault="004079CA" w:rsidP="002515D1">
      <w:pPr>
        <w:spacing w:line="360" w:lineRule="auto"/>
        <w:ind w:firstLine="567"/>
        <w:jc w:val="both"/>
        <w:rPr>
          <w:rFonts w:ascii="Times New Roman" w:hAnsi="Times New Roman" w:cs="Times New Roman"/>
          <w:sz w:val="24"/>
          <w:szCs w:val="24"/>
          <w:lang/>
        </w:rPr>
      </w:pPr>
    </w:p>
    <w:p w:rsidR="00D83AE2" w:rsidRDefault="00D83AE2" w:rsidP="002515D1">
      <w:pPr>
        <w:spacing w:line="360" w:lineRule="auto"/>
        <w:ind w:firstLine="567"/>
        <w:jc w:val="both"/>
        <w:rPr>
          <w:rFonts w:ascii="Times New Roman" w:hAnsi="Times New Roman" w:cs="Times New Roman"/>
          <w:sz w:val="24"/>
          <w:szCs w:val="24"/>
          <w:lang/>
        </w:rPr>
      </w:pPr>
    </w:p>
    <w:p w:rsidR="00D83AE2" w:rsidRDefault="00D83AE2" w:rsidP="002515D1">
      <w:pPr>
        <w:spacing w:line="360" w:lineRule="auto"/>
        <w:ind w:firstLine="567"/>
        <w:jc w:val="both"/>
        <w:rPr>
          <w:rFonts w:ascii="Times New Roman" w:hAnsi="Times New Roman" w:cs="Times New Roman"/>
          <w:b/>
          <w:sz w:val="24"/>
          <w:szCs w:val="24"/>
          <w:lang/>
        </w:rPr>
      </w:pPr>
      <w:r>
        <w:rPr>
          <w:rFonts w:ascii="Times New Roman" w:hAnsi="Times New Roman" w:cs="Times New Roman"/>
          <w:b/>
          <w:sz w:val="24"/>
          <w:szCs w:val="24"/>
          <w:lang/>
        </w:rPr>
        <w:t>Summary</w:t>
      </w:r>
    </w:p>
    <w:p w:rsidR="00D83AE2" w:rsidRPr="001042B6" w:rsidRDefault="001042B6" w:rsidP="002515D1">
      <w:pPr>
        <w:spacing w:line="360" w:lineRule="auto"/>
        <w:ind w:firstLine="567"/>
        <w:jc w:val="both"/>
        <w:rPr>
          <w:rFonts w:ascii="Times New Roman" w:hAnsi="Times New Roman" w:cs="Times New Roman"/>
          <w:i/>
          <w:sz w:val="24"/>
          <w:szCs w:val="24"/>
          <w:lang/>
        </w:rPr>
      </w:pPr>
      <w:r w:rsidRPr="001042B6">
        <w:rPr>
          <w:rFonts w:ascii="Times New Roman" w:hAnsi="Times New Roman" w:cs="Times New Roman"/>
          <w:i/>
          <w:sz w:val="24"/>
          <w:szCs w:val="24"/>
          <w:lang/>
        </w:rPr>
        <w:t xml:space="preserve">Kierkegaard's philosophy, due to its pseudonymous character, represents a constant challenge for interpretators. Such is also the case with his views on the woman, female nature and her capacities for emancipation. </w:t>
      </w:r>
      <w:r>
        <w:rPr>
          <w:rFonts w:ascii="Times New Roman" w:hAnsi="Times New Roman" w:cs="Times New Roman"/>
          <w:i/>
          <w:sz w:val="24"/>
          <w:szCs w:val="24"/>
          <w:lang/>
        </w:rPr>
        <w:t xml:space="preserve">Feminist critique is divided on that issue. Leslie Howe </w:t>
      </w:r>
      <w:r>
        <w:rPr>
          <w:rFonts w:ascii="Times New Roman" w:hAnsi="Times New Roman" w:cs="Times New Roman"/>
          <w:i/>
          <w:sz w:val="24"/>
          <w:szCs w:val="24"/>
          <w:lang/>
        </w:rPr>
        <w:lastRenderedPageBreak/>
        <w:t>maintains that Kierkegaard's philosophy is mizogynous, and that it reduces the woman to a being lesser than the man. Birgit Bernung</w:t>
      </w:r>
      <w:r w:rsidR="00C71050">
        <w:rPr>
          <w:rFonts w:ascii="Times New Roman" w:hAnsi="Times New Roman" w:cs="Times New Roman"/>
          <w:i/>
          <w:sz w:val="24"/>
          <w:szCs w:val="24"/>
          <w:lang/>
        </w:rPr>
        <w:t xml:space="preserve"> suggests that kierkegaard employs in his works an ironic tactics directed towards the coalition of Danish State Church and a patriarchal society, that together determin the place and role of the woman within it. Julia Watkin asserts that Kierkegaard's alleged mizogyny is actually a mizogamy, being that marriage prevents tha man from realizing his tast. Wanda Warren Berry points out that all female characters that Kierkegaard depicts in his aesthetic works shown through the prysm of numerous male pseudonymous authors, but that the privileged reader of all of them is - a woman. Therefore, we can read those</w:t>
      </w:r>
      <w:r w:rsidR="0086463E">
        <w:rPr>
          <w:rFonts w:ascii="Times New Roman" w:hAnsi="Times New Roman" w:cs="Times New Roman"/>
          <w:i/>
          <w:sz w:val="24"/>
          <w:szCs w:val="24"/>
          <w:lang/>
        </w:rPr>
        <w:t xml:space="preserve"> works as an incitement to woman to change her position. In order for that to be possible, the woman must not essentially have less capablities than the man. Her difference from the man can't be biological, psychological or metaphysical, but must consist in variable cultural and historical circumstances. </w:t>
      </w:r>
      <w:r w:rsidR="00916541">
        <w:rPr>
          <w:rFonts w:ascii="Times New Roman" w:hAnsi="Times New Roman" w:cs="Times New Roman"/>
          <w:i/>
          <w:sz w:val="24"/>
          <w:szCs w:val="24"/>
          <w:lang/>
        </w:rPr>
        <w:t xml:space="preserve">That Kierkegaard indeeds holds this position is visible in his accounts of two his female contemporaries: Thomasine Gyllembourg and Johanne Heiberg, as in the case of Virgin Mary. By deeming the woman capable of actualizing her self with equal success as the man, Kierkegaard presents in his works the roles that patriarchal society has assigned to the woman, in order to incite the woman to alter the cultural and historical conditions that determin her, claims Sylvia Walsh. If that interpretation is correct, his metaphorics and the identification of passive existence and despair with "the feminine" would not express sexism, but would have tha character of provcation, aiming at the emancipation of women. Still, that emancipation must have an exclusively personal character, without </w:t>
      </w:r>
      <w:r w:rsidR="00BA09C3">
        <w:rPr>
          <w:rFonts w:ascii="Times New Roman" w:hAnsi="Times New Roman" w:cs="Times New Roman"/>
          <w:i/>
          <w:sz w:val="24"/>
          <w:szCs w:val="24"/>
          <w:lang/>
        </w:rPr>
        <w:t>blending in any kind of mass project.</w:t>
      </w:r>
    </w:p>
    <w:sectPr w:rsidR="00D83AE2" w:rsidRPr="001042B6" w:rsidSect="00FC35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5B0" w:rsidRDefault="003325B0" w:rsidP="005A4417">
      <w:pPr>
        <w:spacing w:after="0" w:line="240" w:lineRule="auto"/>
      </w:pPr>
      <w:r>
        <w:separator/>
      </w:r>
    </w:p>
  </w:endnote>
  <w:endnote w:type="continuationSeparator" w:id="1">
    <w:p w:rsidR="003325B0" w:rsidRDefault="003325B0" w:rsidP="005A44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5B0" w:rsidRDefault="003325B0" w:rsidP="005A4417">
      <w:pPr>
        <w:spacing w:after="0" w:line="240" w:lineRule="auto"/>
      </w:pPr>
      <w:r>
        <w:separator/>
      </w:r>
    </w:p>
  </w:footnote>
  <w:footnote w:type="continuationSeparator" w:id="1">
    <w:p w:rsidR="003325B0" w:rsidRDefault="003325B0" w:rsidP="005A4417">
      <w:pPr>
        <w:spacing w:after="0" w:line="240" w:lineRule="auto"/>
      </w:pPr>
      <w:r>
        <w:continuationSeparator/>
      </w:r>
    </w:p>
  </w:footnote>
  <w:footnote w:id="2">
    <w:p w:rsidR="005A4417" w:rsidRPr="004713B6" w:rsidRDefault="005A4417" w:rsidP="004713B6">
      <w:pPr>
        <w:pStyle w:val="FootnoteText"/>
        <w:jc w:val="both"/>
        <w:rPr>
          <w:rFonts w:ascii="Times New Roman" w:hAnsi="Times New Roman" w:cs="Times New Roman"/>
          <w:lang/>
        </w:rPr>
      </w:pPr>
      <w:r w:rsidRPr="004713B6">
        <w:rPr>
          <w:rStyle w:val="FootnoteReference"/>
          <w:rFonts w:ascii="Times New Roman" w:hAnsi="Times New Roman" w:cs="Times New Roman"/>
        </w:rPr>
        <w:footnoteRef/>
      </w:r>
      <w:r w:rsidRPr="004713B6">
        <w:rPr>
          <w:rFonts w:ascii="Times New Roman" w:hAnsi="Times New Roman" w:cs="Times New Roman"/>
        </w:rPr>
        <w:t xml:space="preserve"> </w:t>
      </w:r>
      <w:r w:rsidR="00565301" w:rsidRPr="004713B6">
        <w:rPr>
          <w:rFonts w:ascii="Times New Roman" w:hAnsi="Times New Roman" w:cs="Times New Roman"/>
        </w:rPr>
        <w:t xml:space="preserve">Thus, for example, in </w:t>
      </w:r>
      <w:r w:rsidR="00565301" w:rsidRPr="004713B6">
        <w:rPr>
          <w:rFonts w:ascii="Times New Roman" w:hAnsi="Times New Roman" w:cs="Times New Roman"/>
          <w:i/>
        </w:rPr>
        <w:t xml:space="preserve">The Sickness unto Death, </w:t>
      </w:r>
      <w:r w:rsidR="00565301" w:rsidRPr="004713B6">
        <w:rPr>
          <w:rFonts w:ascii="Times New Roman" w:hAnsi="Times New Roman" w:cs="Times New Roman"/>
        </w:rPr>
        <w:t>Kierkegaard states at one point that there is no essential difference in the structure of self between man and woman (Kierkegaard, 1980, p.49), and some twenty pages later, that woman is in fact "a synthesis of a lesser kind" than man (Kierkegaard, 1980, p.67)</w:t>
      </w:r>
    </w:p>
  </w:footnote>
  <w:footnote w:id="3">
    <w:p w:rsidR="00565301" w:rsidRPr="004713B6" w:rsidRDefault="00565301" w:rsidP="004713B6">
      <w:pPr>
        <w:pStyle w:val="FootnoteText"/>
        <w:jc w:val="both"/>
        <w:rPr>
          <w:rFonts w:ascii="Times New Roman" w:hAnsi="Times New Roman" w:cs="Times New Roman"/>
          <w:lang/>
        </w:rPr>
      </w:pPr>
      <w:r w:rsidRPr="004713B6">
        <w:rPr>
          <w:rStyle w:val="FootnoteReference"/>
          <w:rFonts w:ascii="Times New Roman" w:hAnsi="Times New Roman" w:cs="Times New Roman"/>
        </w:rPr>
        <w:footnoteRef/>
      </w:r>
      <w:r w:rsidRPr="004713B6">
        <w:rPr>
          <w:rFonts w:ascii="Times New Roman" w:hAnsi="Times New Roman" w:cs="Times New Roman"/>
        </w:rPr>
        <w:t xml:space="preserve"> </w:t>
      </w:r>
      <w:r w:rsidR="00743718" w:rsidRPr="004713B6">
        <w:rPr>
          <w:rFonts w:ascii="Times New Roman" w:hAnsi="Times New Roman" w:cs="Times New Roman"/>
        </w:rPr>
        <w:t xml:space="preserve">Actually, what Anti-Climacus, Kierkegaard's pseudonymous author of </w:t>
      </w:r>
      <w:r w:rsidR="00743718" w:rsidRPr="004713B6">
        <w:rPr>
          <w:rFonts w:ascii="Times New Roman" w:hAnsi="Times New Roman" w:cs="Times New Roman"/>
          <w:i/>
        </w:rPr>
        <w:t xml:space="preserve">The Sickness unto Death </w:t>
      </w:r>
      <w:r w:rsidR="00743718" w:rsidRPr="004713B6">
        <w:rPr>
          <w:rFonts w:ascii="Times New Roman" w:hAnsi="Times New Roman" w:cs="Times New Roman"/>
        </w:rPr>
        <w:t>says is "that in most cases the woman actually relates to God only through the man".</w:t>
      </w:r>
    </w:p>
  </w:footnote>
  <w:footnote w:id="4">
    <w:p w:rsidR="004713B6" w:rsidRPr="004713B6" w:rsidRDefault="004713B6" w:rsidP="004713B6">
      <w:pPr>
        <w:pStyle w:val="FootnoteText"/>
        <w:jc w:val="both"/>
        <w:rPr>
          <w:rFonts w:ascii="Times New Roman" w:hAnsi="Times New Roman" w:cs="Times New Roman"/>
          <w:lang/>
        </w:rPr>
      </w:pPr>
      <w:r w:rsidRPr="004713B6">
        <w:rPr>
          <w:rStyle w:val="FootnoteReference"/>
          <w:rFonts w:ascii="Times New Roman" w:hAnsi="Times New Roman" w:cs="Times New Roman"/>
        </w:rPr>
        <w:footnoteRef/>
      </w:r>
      <w:r w:rsidRPr="004713B6">
        <w:rPr>
          <w:rFonts w:ascii="Times New Roman" w:hAnsi="Times New Roman" w:cs="Times New Roman"/>
        </w:rPr>
        <w:t xml:space="preserve"> </w:t>
      </w:r>
      <w:r w:rsidRPr="004713B6">
        <w:rPr>
          <w:rFonts w:ascii="Times New Roman" w:hAnsi="Times New Roman" w:cs="Times New Roman"/>
          <w:lang/>
        </w:rPr>
        <w:t xml:space="preserve">(Kierkegaard, </w:t>
      </w:r>
      <w:r w:rsidRPr="004713B6">
        <w:rPr>
          <w:rFonts w:ascii="Times New Roman" w:hAnsi="Times New Roman" w:cs="Times New Roman"/>
          <w:i/>
          <w:lang/>
        </w:rPr>
        <w:t>The Sickness unto Death</w:t>
      </w:r>
      <w:r w:rsidRPr="004713B6">
        <w:rPr>
          <w:rFonts w:ascii="Times New Roman" w:hAnsi="Times New Roman" w:cs="Times New Roman"/>
          <w:lang/>
        </w:rPr>
        <w:t>, 1980, p. 50)</w:t>
      </w:r>
      <w:r>
        <w:rPr>
          <w:rFonts w:ascii="Times New Roman" w:hAnsi="Times New Roman" w:cs="Times New Roman"/>
          <w:lang/>
        </w:rPr>
        <w:t xml:space="preserve"> Walsh notices that there is an inconsistency  in the English translation of </w:t>
      </w:r>
      <w:r w:rsidRPr="004713B6">
        <w:rPr>
          <w:rFonts w:ascii="Times New Roman" w:hAnsi="Times New Roman" w:cs="Times New Roman"/>
          <w:i/>
          <w:lang/>
        </w:rPr>
        <w:t>The Sickness unto Death</w:t>
      </w:r>
      <w:r>
        <w:rPr>
          <w:rFonts w:ascii="Times New Roman" w:hAnsi="Times New Roman" w:cs="Times New Roman"/>
          <w:i/>
          <w:lang/>
        </w:rPr>
        <w:t xml:space="preserve">, </w:t>
      </w:r>
      <w:r>
        <w:rPr>
          <w:rFonts w:ascii="Times New Roman" w:hAnsi="Times New Roman" w:cs="Times New Roman"/>
          <w:lang/>
        </w:rPr>
        <w:t xml:space="preserve">that would wrongly imply that Kierkgaard considers that dedication is also a part of female forms of despair. She corrects the text so that despair now relates only to losing the slef, but not in the very act of dedication, for which the man is capable as well. </w:t>
      </w:r>
    </w:p>
  </w:footnote>
  <w:footnote w:id="5">
    <w:p w:rsidR="001F7E69" w:rsidRPr="001F7E69" w:rsidRDefault="001F7E69" w:rsidP="001F7E69">
      <w:pPr>
        <w:pStyle w:val="FootnoteText"/>
        <w:jc w:val="both"/>
        <w:rPr>
          <w:lang/>
        </w:rPr>
      </w:pPr>
      <w:r>
        <w:rPr>
          <w:rStyle w:val="FootnoteReference"/>
        </w:rPr>
        <w:footnoteRef/>
      </w:r>
      <w:r>
        <w:t xml:space="preserve"> T</w:t>
      </w:r>
      <w:r>
        <w:rPr>
          <w:lang/>
        </w:rPr>
        <w:t xml:space="preserve">he occasion for writinf the </w:t>
      </w:r>
      <w:r>
        <w:rPr>
          <w:i/>
          <w:lang/>
        </w:rPr>
        <w:t>Crisis</w:t>
      </w:r>
      <w:r>
        <w:rPr>
          <w:lang/>
        </w:rPr>
        <w:t xml:space="preserve"> was a second performance of </w:t>
      </w:r>
      <w:r>
        <w:rPr>
          <w:i/>
          <w:lang/>
        </w:rPr>
        <w:t>Romeo and Juliet</w:t>
      </w:r>
      <w:r>
        <w:rPr>
          <w:lang/>
        </w:rPr>
        <w:t xml:space="preserve">, in which Johanne Heiberg played the character of Juliet after fourteen years (first time when she was seventeen years old, the second time when she was thirty-one). Although the former </w:t>
      </w:r>
      <w:r w:rsidR="009349A7">
        <w:rPr>
          <w:lang/>
        </w:rPr>
        <w:t>performance was a great success, the latter ones were perceived as a debacle.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756685"/>
    <w:rsid w:val="0001781E"/>
    <w:rsid w:val="0002442A"/>
    <w:rsid w:val="0005121C"/>
    <w:rsid w:val="00094994"/>
    <w:rsid w:val="000C3913"/>
    <w:rsid w:val="000C6816"/>
    <w:rsid w:val="000F0398"/>
    <w:rsid w:val="000F4895"/>
    <w:rsid w:val="001042B6"/>
    <w:rsid w:val="00122647"/>
    <w:rsid w:val="00162610"/>
    <w:rsid w:val="00171A75"/>
    <w:rsid w:val="00196871"/>
    <w:rsid w:val="001D3E25"/>
    <w:rsid w:val="001F7E69"/>
    <w:rsid w:val="00224088"/>
    <w:rsid w:val="002515D1"/>
    <w:rsid w:val="0025592F"/>
    <w:rsid w:val="00280357"/>
    <w:rsid w:val="00283729"/>
    <w:rsid w:val="002C3E9C"/>
    <w:rsid w:val="002C4395"/>
    <w:rsid w:val="002D2A9E"/>
    <w:rsid w:val="002E1967"/>
    <w:rsid w:val="003325B0"/>
    <w:rsid w:val="003513BD"/>
    <w:rsid w:val="003657EC"/>
    <w:rsid w:val="003677D4"/>
    <w:rsid w:val="004079CA"/>
    <w:rsid w:val="004478DD"/>
    <w:rsid w:val="004708B6"/>
    <w:rsid w:val="004713B6"/>
    <w:rsid w:val="00495E76"/>
    <w:rsid w:val="004D0A67"/>
    <w:rsid w:val="004D0DCF"/>
    <w:rsid w:val="004F089A"/>
    <w:rsid w:val="004F2B42"/>
    <w:rsid w:val="00514296"/>
    <w:rsid w:val="0051443B"/>
    <w:rsid w:val="0053705D"/>
    <w:rsid w:val="00541F4E"/>
    <w:rsid w:val="00565301"/>
    <w:rsid w:val="005A4417"/>
    <w:rsid w:val="005D1D0D"/>
    <w:rsid w:val="005D3257"/>
    <w:rsid w:val="005D3DB6"/>
    <w:rsid w:val="005F7687"/>
    <w:rsid w:val="0061074B"/>
    <w:rsid w:val="00634A4E"/>
    <w:rsid w:val="0065118E"/>
    <w:rsid w:val="00655308"/>
    <w:rsid w:val="0069677D"/>
    <w:rsid w:val="006A243A"/>
    <w:rsid w:val="006E0CDC"/>
    <w:rsid w:val="00714F5E"/>
    <w:rsid w:val="00715092"/>
    <w:rsid w:val="00743718"/>
    <w:rsid w:val="00756685"/>
    <w:rsid w:val="00767C23"/>
    <w:rsid w:val="00781CCF"/>
    <w:rsid w:val="00784274"/>
    <w:rsid w:val="007A6DBD"/>
    <w:rsid w:val="007F3C44"/>
    <w:rsid w:val="00805970"/>
    <w:rsid w:val="0086463E"/>
    <w:rsid w:val="008A5EBB"/>
    <w:rsid w:val="00904FB5"/>
    <w:rsid w:val="00916541"/>
    <w:rsid w:val="00930FAD"/>
    <w:rsid w:val="009349A7"/>
    <w:rsid w:val="009478EC"/>
    <w:rsid w:val="0098683E"/>
    <w:rsid w:val="009876D1"/>
    <w:rsid w:val="009C4CC0"/>
    <w:rsid w:val="00A00F73"/>
    <w:rsid w:val="00A01E61"/>
    <w:rsid w:val="00A37A77"/>
    <w:rsid w:val="00A508DE"/>
    <w:rsid w:val="00A84C1A"/>
    <w:rsid w:val="00AB14AF"/>
    <w:rsid w:val="00AC3ECF"/>
    <w:rsid w:val="00AD5C2A"/>
    <w:rsid w:val="00AD5DD5"/>
    <w:rsid w:val="00AD7129"/>
    <w:rsid w:val="00B20BC6"/>
    <w:rsid w:val="00B31E31"/>
    <w:rsid w:val="00B705F6"/>
    <w:rsid w:val="00BA09C3"/>
    <w:rsid w:val="00BA4FA3"/>
    <w:rsid w:val="00BB188D"/>
    <w:rsid w:val="00BC49E2"/>
    <w:rsid w:val="00BD4663"/>
    <w:rsid w:val="00BD5869"/>
    <w:rsid w:val="00BE7643"/>
    <w:rsid w:val="00C06E30"/>
    <w:rsid w:val="00C10C57"/>
    <w:rsid w:val="00C112AD"/>
    <w:rsid w:val="00C1262B"/>
    <w:rsid w:val="00C543B7"/>
    <w:rsid w:val="00C67025"/>
    <w:rsid w:val="00C71050"/>
    <w:rsid w:val="00CA02BA"/>
    <w:rsid w:val="00CD21F9"/>
    <w:rsid w:val="00D71572"/>
    <w:rsid w:val="00D83AE2"/>
    <w:rsid w:val="00DB6B51"/>
    <w:rsid w:val="00E53FA9"/>
    <w:rsid w:val="00EC07AD"/>
    <w:rsid w:val="00EE338E"/>
    <w:rsid w:val="00F4113E"/>
    <w:rsid w:val="00F5346E"/>
    <w:rsid w:val="00F67043"/>
    <w:rsid w:val="00FA617A"/>
    <w:rsid w:val="00FC3513"/>
    <w:rsid w:val="00FE3AB9"/>
    <w:rsid w:val="00FE4C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5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4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417"/>
    <w:rPr>
      <w:sz w:val="20"/>
      <w:szCs w:val="20"/>
    </w:rPr>
  </w:style>
  <w:style w:type="character" w:styleId="FootnoteReference">
    <w:name w:val="footnote reference"/>
    <w:basedOn w:val="DefaultParagraphFont"/>
    <w:uiPriority w:val="99"/>
    <w:semiHidden/>
    <w:unhideWhenUsed/>
    <w:rsid w:val="005A4417"/>
    <w:rPr>
      <w:vertAlign w:val="superscript"/>
    </w:rPr>
  </w:style>
  <w:style w:type="paragraph" w:styleId="Bibliography">
    <w:name w:val="Bibliography"/>
    <w:basedOn w:val="Normal"/>
    <w:next w:val="Normal"/>
    <w:uiPriority w:val="37"/>
    <w:unhideWhenUsed/>
    <w:rsid w:val="0061074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F0B08-11B0-418D-86CC-1F13D2404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17</Pages>
  <Words>5451</Words>
  <Characters>30583</Characters>
  <Application>Microsoft Office Word</Application>
  <DocSecurity>0</DocSecurity>
  <Lines>527</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Bojan</dc:creator>
  <cp:lastModifiedBy>Bojan</cp:lastModifiedBy>
  <cp:revision>103</cp:revision>
  <dcterms:created xsi:type="dcterms:W3CDTF">2016-01-13T14:21:00Z</dcterms:created>
  <dcterms:modified xsi:type="dcterms:W3CDTF">2016-01-14T02:23:00Z</dcterms:modified>
</cp:coreProperties>
</file>