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hd w:val="clear" w:color="auto" w:fill="FFFFFF"/>
        <w:spacing w:after="0" w:line="360" w:lineRule="auto"/>
        <w:ind w:left="170"/>
        <w:jc w:val="center"/>
        <w:rPr>
          <w:rFonts w:eastAsia="Times New Roman"/>
          <w:sz w:val="28"/>
          <w:szCs w:val="28"/>
          <w:lang w:eastAsia="en-GB"/>
        </w:rPr>
      </w:pPr>
      <w:r>
        <w:rPr>
          <w:rFonts w:eastAsia="Times New Roman"/>
          <w:b/>
          <w:bCs/>
          <w:sz w:val="28"/>
          <w:szCs w:val="28"/>
          <w:lang w:eastAsia="en-GB"/>
        </w:rPr>
        <w:t>“Organized Criminal Groups – Criminology Context and Security Perspectives (Case Study: Bosnia and Herzegovina)”</w:t>
      </w:r>
    </w:p>
    <w:p>
      <w:pPr>
        <w:shd w:val="clear" w:color="auto" w:fill="FFFFFF"/>
        <w:spacing w:after="0" w:line="360" w:lineRule="auto"/>
        <w:ind w:left="170"/>
        <w:jc w:val="center"/>
        <w:rPr>
          <w:rFonts w:eastAsia="Times New Roman"/>
          <w:szCs w:val="24"/>
          <w:lang w:eastAsia="en-GB"/>
        </w:rPr>
      </w:pPr>
    </w:p>
    <w:p>
      <w:pPr>
        <w:spacing w:after="0" w:line="360" w:lineRule="auto"/>
        <w:ind w:firstLine="720"/>
        <w:jc w:val="both"/>
        <w:rPr>
          <w:szCs w:val="24"/>
        </w:rPr>
      </w:pPr>
      <w:r>
        <w:rPr>
          <w:rFonts w:eastAsia="Times New Roman"/>
          <w:szCs w:val="24"/>
          <w:lang w:eastAsia="en-GB"/>
        </w:rPr>
        <w:t xml:space="preserve">Abstract: </w:t>
      </w:r>
      <w:r>
        <w:rPr>
          <w:szCs w:val="24"/>
        </w:rPr>
        <w:t>This paper analyzes the court cases qualified as organized crime in Bosnia and Herzegovina (</w:t>
      </w:r>
      <w:proofErr w:type="spellStart"/>
      <w:r>
        <w:rPr>
          <w:szCs w:val="24"/>
        </w:rPr>
        <w:t>BiH</w:t>
      </w:r>
      <w:proofErr w:type="spellEnd"/>
      <w:r>
        <w:rPr>
          <w:szCs w:val="24"/>
        </w:rPr>
        <w:t xml:space="preserve">). The final judgments were analyzed according to the following criteria: the number of defendants, the continuity of membership, the existence of criminal structure, the existence of a developed plan of activities, the type and number of the offenses committed, influence on public authorities, the judiciary, and citizens, sentences imposed on the defendants. This paper seeks to identify the extent to which court judgments are based on these criteria. A secondary analysis of the data contained in the organized crime cases heard before the Court of Bosnia and Herzegovina from 2015 to 2018 was conducted. This analysis encompassed 21 organized crime cases in which 27 judgments were rendered. In the observed period (2015-2018), we identified two organized criminal groups that meet the criteria analyzed. The identified number of organized criminal groups is minimal in relation to the total number of organized crime cases processed. Our findings contradict the prevailing view in public discourse that organized crime is a widespread security threat in </w:t>
      </w:r>
      <w:proofErr w:type="spellStart"/>
      <w:r>
        <w:rPr>
          <w:szCs w:val="24"/>
        </w:rPr>
        <w:t>BiH</w:t>
      </w:r>
      <w:proofErr w:type="spellEnd"/>
      <w:r>
        <w:rPr>
          <w:szCs w:val="24"/>
        </w:rPr>
        <w:t xml:space="preserve">. The findings of our research demonstrated that </w:t>
      </w:r>
      <w:proofErr w:type="gramStart"/>
      <w:r>
        <w:rPr>
          <w:szCs w:val="24"/>
        </w:rPr>
        <w:t>there</w:t>
      </w:r>
      <w:proofErr w:type="gramEnd"/>
      <w:r>
        <w:rPr>
          <w:szCs w:val="24"/>
        </w:rPr>
        <w:t xml:space="preserve"> legal gaps in terms of clear criteria on the basis of which OCGs can be distinguish from other forms of criminal activity. Legal and institutional weaknesses create opportunities for OCGs to operate and create a sense of insecurity among the citizens in the already complex security environment in </w:t>
      </w:r>
      <w:proofErr w:type="spellStart"/>
      <w:r>
        <w:rPr>
          <w:szCs w:val="24"/>
        </w:rPr>
        <w:t>BiH</w:t>
      </w:r>
      <w:proofErr w:type="spellEnd"/>
      <w:r>
        <w:rPr>
          <w:rStyle w:val="FootnoteReference"/>
          <w:szCs w:val="24"/>
        </w:rPr>
        <w:footnoteReference w:id="1"/>
      </w:r>
      <w:r>
        <w:rPr>
          <w:szCs w:val="24"/>
        </w:rPr>
        <w:t>.</w:t>
      </w:r>
    </w:p>
    <w:p>
      <w:pPr>
        <w:pStyle w:val="FootnoteText"/>
        <w:spacing w:line="360" w:lineRule="auto"/>
        <w:ind w:firstLine="720"/>
        <w:rPr>
          <w:rFonts w:ascii="Times New Roman" w:hAnsi="Times New Roman" w:cs="Times New Roman"/>
          <w:sz w:val="24"/>
          <w:szCs w:val="24"/>
        </w:rPr>
      </w:pPr>
      <w:r>
        <w:rPr>
          <w:rFonts w:ascii="Times New Roman" w:hAnsi="Times New Roman" w:cs="Times New Roman"/>
          <w:sz w:val="24"/>
          <w:szCs w:val="24"/>
        </w:rPr>
        <w:t>Keywords: organized crime, organized criminal groups, Bosnia and Herzegovina, security.</w:t>
      </w:r>
    </w:p>
    <w:p>
      <w:pPr>
        <w:shd w:val="clear" w:color="auto" w:fill="FFFFFF"/>
        <w:spacing w:after="0" w:line="360" w:lineRule="auto"/>
        <w:ind w:left="170"/>
        <w:jc w:val="center"/>
        <w:rPr>
          <w:rFonts w:eastAsia="Times New Roman"/>
          <w:b/>
          <w:szCs w:val="24"/>
          <w:lang w:eastAsia="en-GB"/>
        </w:rPr>
      </w:pPr>
      <w:r>
        <w:rPr>
          <w:rFonts w:eastAsia="Times New Roman"/>
          <w:b/>
          <w:szCs w:val="24"/>
          <w:lang w:eastAsia="en-GB"/>
        </w:rPr>
        <w:t>Introduction</w:t>
      </w:r>
    </w:p>
    <w:p>
      <w:pPr>
        <w:shd w:val="clear" w:color="auto" w:fill="FFFFFF"/>
        <w:spacing w:after="0" w:line="360" w:lineRule="auto"/>
        <w:ind w:left="170"/>
        <w:jc w:val="center"/>
        <w:rPr>
          <w:rFonts w:eastAsia="Times New Roman"/>
          <w:b/>
          <w:szCs w:val="24"/>
          <w:lang w:eastAsia="en-GB"/>
        </w:rPr>
      </w:pPr>
    </w:p>
    <w:p>
      <w:pPr>
        <w:shd w:val="clear" w:color="auto" w:fill="FFFFFF"/>
        <w:spacing w:after="0" w:line="360" w:lineRule="auto"/>
        <w:ind w:left="170" w:firstLine="720"/>
        <w:jc w:val="both"/>
        <w:rPr>
          <w:szCs w:val="24"/>
        </w:rPr>
      </w:pPr>
      <w:r>
        <w:rPr>
          <w:szCs w:val="24"/>
        </w:rPr>
        <w:t>Organized crime in Bosnia and Herzegovina [</w:t>
      </w:r>
      <w:proofErr w:type="spellStart"/>
      <w:r>
        <w:rPr>
          <w:szCs w:val="24"/>
        </w:rPr>
        <w:t>BiH</w:t>
      </w:r>
      <w:proofErr w:type="spellEnd"/>
      <w:r>
        <w:rPr>
          <w:szCs w:val="24"/>
        </w:rPr>
        <w:t>] has its decades-long genesis. The first period encompasses years until the beginning of the civil war in 1992, which was characterized by</w:t>
      </w:r>
      <w:r>
        <w:rPr>
          <w:color w:val="FF0000"/>
          <w:szCs w:val="24"/>
        </w:rPr>
        <w:t xml:space="preserve"> </w:t>
      </w:r>
      <w:r>
        <w:rPr>
          <w:szCs w:val="24"/>
        </w:rPr>
        <w:t>the crime situation in the former joint state, especially attitudes toward this criminal phenomenon.</w:t>
      </w:r>
      <w:r>
        <w:rPr>
          <w:szCs w:val="24"/>
          <w:vertAlign w:val="superscript"/>
        </w:rPr>
        <w:footnoteReference w:id="2"/>
      </w:r>
      <w:r>
        <w:rPr>
          <w:szCs w:val="24"/>
        </w:rPr>
        <w:t xml:space="preserve"> The second period can be observed during the 1992-1995 civil war </w:t>
      </w:r>
      <w:r>
        <w:rPr>
          <w:szCs w:val="24"/>
        </w:rPr>
        <w:lastRenderedPageBreak/>
        <w:t>(Griffiths, 1999; Andreas, 2004), which includes various forms of war profiteering,</w:t>
      </w:r>
      <w:r>
        <w:rPr>
          <w:color w:val="FF0000"/>
          <w:szCs w:val="24"/>
        </w:rPr>
        <w:t xml:space="preserve"> </w:t>
      </w:r>
      <w:r>
        <w:rPr>
          <w:szCs w:val="24"/>
        </w:rPr>
        <w:t>the gray economy, the illicit trafficking of excise goods, military equipment, weapons or ammunition.</w:t>
      </w:r>
      <w:r>
        <w:rPr>
          <w:szCs w:val="24"/>
          <w:vertAlign w:val="superscript"/>
        </w:rPr>
        <w:footnoteReference w:id="3"/>
      </w:r>
      <w:r>
        <w:rPr>
          <w:szCs w:val="24"/>
        </w:rPr>
        <w:t xml:space="preserve"> It is worth mentioning that the sanctions and embargoes imposed by the international community during the civil war led, albeit unintentionally, to the spread of organized crime in </w:t>
      </w:r>
      <w:proofErr w:type="spellStart"/>
      <w:r>
        <w:rPr>
          <w:szCs w:val="24"/>
        </w:rPr>
        <w:t>BiH</w:t>
      </w:r>
      <w:proofErr w:type="spellEnd"/>
      <w:r>
        <w:rPr>
          <w:szCs w:val="24"/>
        </w:rPr>
        <w:t>, which also had an impact on the period after they had been lifted (Bradly, 2012: 16; Andreas, 2005: 335). Afterwards, organized crime erupted in the period 1995-2000 it was characterized by criminal activities related to reconstruction and the transfer of  public capital to the private sector, the so-called privatization.</w:t>
      </w:r>
      <w:r>
        <w:rPr>
          <w:szCs w:val="24"/>
          <w:vertAlign w:val="superscript"/>
        </w:rPr>
        <w:footnoteReference w:id="4"/>
      </w:r>
      <w:r>
        <w:rPr>
          <w:szCs w:val="24"/>
        </w:rPr>
        <w:t xml:space="preserve"> During this period, criminal activities related to arms trafficking intensified and the routes, which had been previously disrupted, used for drug trafficking, illicit cigarette trade, and human trafficking were established. Finally, the period from 2000 to present is characterized by “traditional” organized crime, the formation of typical organized criminal groups, including the commission of criminal acts inherent in this criminal phenomenon such as drug trafficking, human trafficking, arms trafficking, organized violent crime, and so on (</w:t>
      </w:r>
      <w:proofErr w:type="spellStart"/>
      <w:r>
        <w:rPr>
          <w:szCs w:val="24"/>
        </w:rPr>
        <w:t>Šikman</w:t>
      </w:r>
      <w:proofErr w:type="spellEnd"/>
      <w:r>
        <w:rPr>
          <w:szCs w:val="24"/>
        </w:rPr>
        <w:t xml:space="preserve">, 2011). At the same time, the legal and institutional framework against organized crime in </w:t>
      </w:r>
      <w:proofErr w:type="spellStart"/>
      <w:r>
        <w:rPr>
          <w:szCs w:val="24"/>
        </w:rPr>
        <w:t>BiH</w:t>
      </w:r>
      <w:proofErr w:type="spellEnd"/>
      <w:r>
        <w:rPr>
          <w:szCs w:val="24"/>
        </w:rPr>
        <w:t xml:space="preserve"> has been developed. International documents dealing with this issue have been  ratified,</w:t>
      </w:r>
      <w:r>
        <w:rPr>
          <w:szCs w:val="24"/>
          <w:vertAlign w:val="superscript"/>
        </w:rPr>
        <w:footnoteReference w:id="5"/>
      </w:r>
      <w:r>
        <w:rPr>
          <w:szCs w:val="24"/>
        </w:rPr>
        <w:t xml:space="preserve"> key legal provisions have been adopted</w:t>
      </w:r>
      <w:r>
        <w:rPr>
          <w:szCs w:val="24"/>
          <w:vertAlign w:val="superscript"/>
        </w:rPr>
        <w:footnoteReference w:id="6"/>
      </w:r>
      <w:r>
        <w:rPr>
          <w:szCs w:val="24"/>
        </w:rPr>
        <w:t xml:space="preserve"> and government bodies</w:t>
      </w:r>
      <w:r>
        <w:rPr>
          <w:szCs w:val="24"/>
          <w:vertAlign w:val="superscript"/>
        </w:rPr>
        <w:footnoteReference w:id="7"/>
      </w:r>
      <w:r>
        <w:rPr>
          <w:szCs w:val="24"/>
        </w:rPr>
        <w:t xml:space="preserve"> responsible for detecting and prosecuting the perpetrators of organized crime have been established.</w:t>
      </w:r>
    </w:p>
    <w:p>
      <w:pPr>
        <w:spacing w:after="0" w:line="360" w:lineRule="auto"/>
        <w:ind w:left="170" w:firstLine="720"/>
        <w:jc w:val="both"/>
        <w:rPr>
          <w:szCs w:val="24"/>
        </w:rPr>
      </w:pPr>
      <w:r>
        <w:rPr>
          <w:szCs w:val="24"/>
        </w:rPr>
        <w:t xml:space="preserve">Previous research on organized crime in </w:t>
      </w:r>
      <w:proofErr w:type="spellStart"/>
      <w:r>
        <w:rPr>
          <w:szCs w:val="24"/>
        </w:rPr>
        <w:t>BiH</w:t>
      </w:r>
      <w:proofErr w:type="spellEnd"/>
      <w:r>
        <w:rPr>
          <w:szCs w:val="24"/>
        </w:rPr>
        <w:t xml:space="preserve"> had a different goal and purpose, which conditioned the available research results. In this regard, Bradly points out that the extent of organized crime in </w:t>
      </w:r>
      <w:proofErr w:type="spellStart"/>
      <w:r>
        <w:rPr>
          <w:szCs w:val="24"/>
        </w:rPr>
        <w:t>BiH</w:t>
      </w:r>
      <w:proofErr w:type="spellEnd"/>
      <w:r>
        <w:rPr>
          <w:szCs w:val="24"/>
        </w:rPr>
        <w:t xml:space="preserve"> cannot be fully determined due to the complexity of the state system (Brady, 2012: 4). According to the “Study on Organized Crime in Bosnia and Herzegovina”, numerous criminal associations involved in various organized criminal activities have been </w:t>
      </w:r>
      <w:r>
        <w:rPr>
          <w:szCs w:val="24"/>
        </w:rPr>
        <w:lastRenderedPageBreak/>
        <w:t xml:space="preserve">formed in </w:t>
      </w:r>
      <w:proofErr w:type="spellStart"/>
      <w:r>
        <w:rPr>
          <w:szCs w:val="24"/>
        </w:rPr>
        <w:t>BiH</w:t>
      </w:r>
      <w:proofErr w:type="spellEnd"/>
      <w:r>
        <w:rPr>
          <w:szCs w:val="24"/>
        </w:rPr>
        <w:t xml:space="preserve"> in a relatively short time (</w:t>
      </w:r>
      <w:proofErr w:type="spellStart"/>
      <w:r>
        <w:rPr>
          <w:szCs w:val="24"/>
        </w:rPr>
        <w:t>Centar</w:t>
      </w:r>
      <w:proofErr w:type="spellEnd"/>
      <w:r>
        <w:rPr>
          <w:szCs w:val="24"/>
        </w:rPr>
        <w:t xml:space="preserve"> </w:t>
      </w:r>
      <w:proofErr w:type="spellStart"/>
      <w:r>
        <w:rPr>
          <w:szCs w:val="24"/>
        </w:rPr>
        <w:t>za</w:t>
      </w:r>
      <w:proofErr w:type="spellEnd"/>
      <w:r>
        <w:rPr>
          <w:szCs w:val="24"/>
        </w:rPr>
        <w:t xml:space="preserve"> </w:t>
      </w:r>
      <w:proofErr w:type="spellStart"/>
      <w:r>
        <w:rPr>
          <w:szCs w:val="24"/>
        </w:rPr>
        <w:t>sigurnosne</w:t>
      </w:r>
      <w:proofErr w:type="spellEnd"/>
      <w:r>
        <w:rPr>
          <w:szCs w:val="24"/>
        </w:rPr>
        <w:t xml:space="preserve"> </w:t>
      </w:r>
      <w:proofErr w:type="spellStart"/>
      <w:r>
        <w:rPr>
          <w:szCs w:val="24"/>
        </w:rPr>
        <w:t>studije</w:t>
      </w:r>
      <w:proofErr w:type="spellEnd"/>
      <w:r>
        <w:rPr>
          <w:szCs w:val="24"/>
        </w:rPr>
        <w:t xml:space="preserve"> [CSS], 2014). Additionally, as a part of the UNODC (2020) project entitled “Measuring and assessing organized crime in the Western Balkans”, a study using statistical data and analytical framework to measure and assess organized crime in six Western Balkan countries was conducted (UNODC, 2020: 5). Also, it is important to point out judicial practice regarding organized crime cases in </w:t>
      </w:r>
      <w:proofErr w:type="spellStart"/>
      <w:r>
        <w:rPr>
          <w:szCs w:val="24"/>
        </w:rPr>
        <w:t>BiH</w:t>
      </w:r>
      <w:proofErr w:type="spellEnd"/>
      <w:r>
        <w:rPr>
          <w:szCs w:val="24"/>
        </w:rPr>
        <w:t xml:space="preserve"> (Marković, 2008; </w:t>
      </w:r>
      <w:proofErr w:type="spellStart"/>
      <w:r>
        <w:rPr>
          <w:szCs w:val="24"/>
        </w:rPr>
        <w:t>Smajić</w:t>
      </w:r>
      <w:proofErr w:type="spellEnd"/>
      <w:r>
        <w:rPr>
          <w:szCs w:val="24"/>
        </w:rPr>
        <w:t xml:space="preserve">, 2010; </w:t>
      </w:r>
      <w:proofErr w:type="spellStart"/>
      <w:r>
        <w:rPr>
          <w:szCs w:val="24"/>
        </w:rPr>
        <w:t>Maljević</w:t>
      </w:r>
      <w:proofErr w:type="spellEnd"/>
      <w:r>
        <w:rPr>
          <w:szCs w:val="24"/>
        </w:rPr>
        <w:t xml:space="preserve">, 2020; </w:t>
      </w:r>
      <w:proofErr w:type="spellStart"/>
      <w:r>
        <w:rPr>
          <w:szCs w:val="24"/>
        </w:rPr>
        <w:t>Jamaković</w:t>
      </w:r>
      <w:proofErr w:type="spellEnd"/>
      <w:r>
        <w:rPr>
          <w:szCs w:val="24"/>
        </w:rPr>
        <w:t xml:space="preserve">, 2019). It should also be noted that the USAID (2019) published the “Universal </w:t>
      </w:r>
      <w:proofErr w:type="spellStart"/>
      <w:r>
        <w:rPr>
          <w:szCs w:val="24"/>
        </w:rPr>
        <w:t>Benchbook</w:t>
      </w:r>
      <w:proofErr w:type="spellEnd"/>
      <w:r>
        <w:rPr>
          <w:szCs w:val="24"/>
        </w:rPr>
        <w:t xml:space="preserve"> on How to Prosecute and Adjudicate Corruption, Economic Crime, and Organized Crime Cases” dealing with important issues in prosecuting and adjudicating those criminal offenses. Finally, two studies, which were the starting point of our research, were published (</w:t>
      </w:r>
      <w:proofErr w:type="spellStart"/>
      <w:r>
        <w:rPr>
          <w:szCs w:val="24"/>
        </w:rPr>
        <w:t>Šikman</w:t>
      </w:r>
      <w:proofErr w:type="spellEnd"/>
      <w:r>
        <w:rPr>
          <w:szCs w:val="24"/>
        </w:rPr>
        <w:t xml:space="preserve">, 2019, Simović &amp; </w:t>
      </w:r>
      <w:proofErr w:type="spellStart"/>
      <w:r>
        <w:rPr>
          <w:szCs w:val="24"/>
        </w:rPr>
        <w:t>Šikman</w:t>
      </w:r>
      <w:proofErr w:type="spellEnd"/>
      <w:r>
        <w:rPr>
          <w:szCs w:val="24"/>
        </w:rPr>
        <w:t xml:space="preserve">, 2019). What was concluded is that judicial practice in criminal cases is quite </w:t>
      </w:r>
      <w:r>
        <w:rPr>
          <w:color w:val="000000" w:themeColor="text1"/>
          <w:szCs w:val="24"/>
        </w:rPr>
        <w:t>unequal a</w:t>
      </w:r>
      <w:r>
        <w:rPr>
          <w:szCs w:val="24"/>
        </w:rPr>
        <w:t>nd different (</w:t>
      </w:r>
      <w:proofErr w:type="spellStart"/>
      <w:r>
        <w:rPr>
          <w:szCs w:val="24"/>
        </w:rPr>
        <w:t>Šikman</w:t>
      </w:r>
      <w:proofErr w:type="spellEnd"/>
      <w:r>
        <w:rPr>
          <w:szCs w:val="24"/>
        </w:rPr>
        <w:t xml:space="preserve">, 2019), which certainly had an impact on the appropriateness of penal policy in these cases (Simović &amp; </w:t>
      </w:r>
      <w:proofErr w:type="spellStart"/>
      <w:r>
        <w:rPr>
          <w:szCs w:val="24"/>
        </w:rPr>
        <w:t>Šikman</w:t>
      </w:r>
      <w:proofErr w:type="spellEnd"/>
      <w:r>
        <w:rPr>
          <w:szCs w:val="24"/>
        </w:rPr>
        <w:t xml:space="preserve">, 2019). </w:t>
      </w:r>
    </w:p>
    <w:p>
      <w:pPr>
        <w:spacing w:after="0" w:line="360" w:lineRule="auto"/>
        <w:ind w:left="170" w:firstLine="720"/>
        <w:jc w:val="both"/>
        <w:rPr>
          <w:rFonts w:eastAsia="Times New Roman"/>
          <w:szCs w:val="24"/>
          <w:lang w:eastAsia="en-GB"/>
        </w:rPr>
      </w:pPr>
      <w:r>
        <w:rPr>
          <w:rFonts w:eastAsia="Times New Roman"/>
          <w:szCs w:val="24"/>
          <w:lang w:eastAsia="en-GB"/>
        </w:rPr>
        <w:t xml:space="preserve">Given the existing social circumstances in </w:t>
      </w:r>
      <w:proofErr w:type="spellStart"/>
      <w:r>
        <w:rPr>
          <w:rFonts w:eastAsia="Times New Roman"/>
          <w:szCs w:val="24"/>
          <w:lang w:eastAsia="en-GB"/>
        </w:rPr>
        <w:t>BiH</w:t>
      </w:r>
      <w:proofErr w:type="spellEnd"/>
      <w:r>
        <w:rPr>
          <w:rFonts w:eastAsia="Times New Roman"/>
          <w:szCs w:val="24"/>
          <w:lang w:eastAsia="en-GB"/>
        </w:rPr>
        <w:t xml:space="preserve"> and possible security implications, it seems that this phenomenon does not attract much interest among professionals or scholars. Of particular concern is a rather broad approach to the criminal prosecution of offenses regarded as organized crime. This inevitably reflects upon specific criminal proceedings before the competent authorities and the image of the prevalence of this criminal phenomenon. This does not mean that organized crime does not exist in </w:t>
      </w:r>
      <w:proofErr w:type="spellStart"/>
      <w:r>
        <w:rPr>
          <w:rFonts w:eastAsia="Times New Roman"/>
          <w:szCs w:val="24"/>
          <w:lang w:eastAsia="en-GB"/>
        </w:rPr>
        <w:t>BiH</w:t>
      </w:r>
      <w:proofErr w:type="spellEnd"/>
      <w:r>
        <w:rPr>
          <w:rFonts w:eastAsia="Times New Roman"/>
          <w:szCs w:val="24"/>
          <w:lang w:eastAsia="en-GB"/>
        </w:rPr>
        <w:t>. Rather, indictments are more often brought for the forms of criminal organization that do not have elements of organized crime. And precisely because of that, in theory and practice, a distinction is made between organized crime and other forms of criminal activity.</w:t>
      </w:r>
    </w:p>
    <w:p>
      <w:pPr>
        <w:spacing w:after="0" w:line="360" w:lineRule="auto"/>
        <w:ind w:left="170" w:firstLine="720"/>
        <w:jc w:val="both"/>
        <w:rPr>
          <w:rFonts w:eastAsia="Times New Roman"/>
          <w:szCs w:val="24"/>
          <w:lang w:eastAsia="en-GB"/>
        </w:rPr>
      </w:pPr>
      <w:r>
        <w:rPr>
          <w:rFonts w:eastAsia="Times New Roman"/>
          <w:szCs w:val="24"/>
          <w:lang w:eastAsia="en-GB"/>
        </w:rPr>
        <w:t xml:space="preserve">The aim of this paper is to analyze the court cases in </w:t>
      </w:r>
      <w:proofErr w:type="spellStart"/>
      <w:r>
        <w:rPr>
          <w:rFonts w:eastAsia="Times New Roman"/>
          <w:szCs w:val="24"/>
          <w:lang w:eastAsia="en-GB"/>
        </w:rPr>
        <w:t>BiH</w:t>
      </w:r>
      <w:proofErr w:type="spellEnd"/>
      <w:r>
        <w:rPr>
          <w:rFonts w:eastAsia="Times New Roman"/>
          <w:szCs w:val="24"/>
          <w:lang w:eastAsia="en-GB"/>
        </w:rPr>
        <w:t xml:space="preserve"> that are qualified as organized crime based on the criteria for differentiating organized crime from other criminal offenses, which are established in the scholarly literature. This paper seeks to identify the extent to which court judgments are based on these criteria. Such an approach is important for an objective view of the situation of organized crime, and thus an appropriate response to the same problem. </w:t>
      </w:r>
    </w:p>
    <w:p>
      <w:pPr>
        <w:spacing w:after="0" w:line="360" w:lineRule="auto"/>
        <w:ind w:left="170" w:firstLine="720"/>
        <w:jc w:val="both"/>
        <w:rPr>
          <w:rFonts w:eastAsia="Times New Roman"/>
          <w:szCs w:val="24"/>
          <w:lang w:eastAsia="en-GB"/>
        </w:rPr>
      </w:pPr>
    </w:p>
    <w:p>
      <w:pPr>
        <w:shd w:val="clear" w:color="auto" w:fill="FFFFFF"/>
        <w:spacing w:after="0" w:line="360" w:lineRule="auto"/>
        <w:ind w:left="170"/>
        <w:jc w:val="center"/>
        <w:rPr>
          <w:rFonts w:eastAsia="Times New Roman"/>
          <w:b/>
          <w:szCs w:val="24"/>
          <w:lang w:eastAsia="en-GB"/>
        </w:rPr>
      </w:pPr>
      <w:r>
        <w:rPr>
          <w:rFonts w:eastAsia="Times New Roman"/>
          <w:b/>
          <w:szCs w:val="24"/>
          <w:lang w:eastAsia="en-GB"/>
        </w:rPr>
        <w:t xml:space="preserve">Organized crime in </w:t>
      </w:r>
      <w:proofErr w:type="spellStart"/>
      <w:r>
        <w:rPr>
          <w:rFonts w:eastAsia="Times New Roman"/>
          <w:b/>
          <w:szCs w:val="24"/>
          <w:lang w:eastAsia="en-GB"/>
        </w:rPr>
        <w:t>BiH</w:t>
      </w:r>
      <w:proofErr w:type="spellEnd"/>
    </w:p>
    <w:p>
      <w:pPr>
        <w:shd w:val="clear" w:color="auto" w:fill="FFFFFF"/>
        <w:spacing w:after="0" w:line="360" w:lineRule="auto"/>
        <w:ind w:left="170"/>
        <w:jc w:val="both"/>
        <w:rPr>
          <w:rFonts w:eastAsia="Times New Roman"/>
          <w:b/>
          <w:szCs w:val="24"/>
          <w:lang w:eastAsia="en-GB"/>
        </w:rPr>
      </w:pPr>
    </w:p>
    <w:p>
      <w:pPr>
        <w:shd w:val="clear" w:color="auto" w:fill="FFFFFF"/>
        <w:spacing w:after="0" w:line="360" w:lineRule="auto"/>
        <w:ind w:left="170" w:firstLine="720"/>
        <w:jc w:val="both"/>
        <w:rPr>
          <w:szCs w:val="24"/>
        </w:rPr>
      </w:pPr>
      <w:r>
        <w:rPr>
          <w:szCs w:val="24"/>
        </w:rPr>
        <w:t xml:space="preserve">A review of previous studies indicates that organized crime has been present in </w:t>
      </w:r>
      <w:proofErr w:type="spellStart"/>
      <w:r>
        <w:rPr>
          <w:szCs w:val="24"/>
        </w:rPr>
        <w:t>BiH</w:t>
      </w:r>
      <w:proofErr w:type="spellEnd"/>
      <w:r>
        <w:rPr>
          <w:szCs w:val="24"/>
        </w:rPr>
        <w:t xml:space="preserve"> for more than 30 years (Brady, 2012; </w:t>
      </w:r>
      <w:proofErr w:type="spellStart"/>
      <w:r>
        <w:rPr>
          <w:szCs w:val="24"/>
        </w:rPr>
        <w:t>Smajić</w:t>
      </w:r>
      <w:proofErr w:type="spellEnd"/>
      <w:r>
        <w:rPr>
          <w:szCs w:val="24"/>
        </w:rPr>
        <w:t xml:space="preserve">, 2010; </w:t>
      </w:r>
      <w:proofErr w:type="spellStart"/>
      <w:r>
        <w:rPr>
          <w:szCs w:val="24"/>
        </w:rPr>
        <w:t>Petrović</w:t>
      </w:r>
      <w:proofErr w:type="spellEnd"/>
      <w:r>
        <w:rPr>
          <w:szCs w:val="24"/>
        </w:rPr>
        <w:t xml:space="preserve"> &amp; </w:t>
      </w:r>
      <w:proofErr w:type="spellStart"/>
      <w:r>
        <w:rPr>
          <w:szCs w:val="24"/>
        </w:rPr>
        <w:t>Dobovšek</w:t>
      </w:r>
      <w:proofErr w:type="spellEnd"/>
      <w:r>
        <w:rPr>
          <w:szCs w:val="24"/>
        </w:rPr>
        <w:t xml:space="preserve">, 2007; </w:t>
      </w:r>
      <w:proofErr w:type="spellStart"/>
      <w:r>
        <w:rPr>
          <w:szCs w:val="24"/>
        </w:rPr>
        <w:t>Petrović</w:t>
      </w:r>
      <w:proofErr w:type="spellEnd"/>
      <w:r>
        <w:rPr>
          <w:szCs w:val="24"/>
        </w:rPr>
        <w:t xml:space="preserve"> &amp; </w:t>
      </w:r>
      <w:proofErr w:type="spellStart"/>
      <w:r>
        <w:rPr>
          <w:szCs w:val="24"/>
        </w:rPr>
        <w:t>Meško</w:t>
      </w:r>
      <w:proofErr w:type="spellEnd"/>
      <w:r>
        <w:rPr>
          <w:szCs w:val="24"/>
        </w:rPr>
        <w:t>, 2008), manifesting itself in various forms (</w:t>
      </w:r>
      <w:proofErr w:type="spellStart"/>
      <w:r>
        <w:rPr>
          <w:szCs w:val="24"/>
        </w:rPr>
        <w:t>Šikman</w:t>
      </w:r>
      <w:proofErr w:type="spellEnd"/>
      <w:r>
        <w:rPr>
          <w:szCs w:val="24"/>
        </w:rPr>
        <w:t xml:space="preserve">, 2011). So far, various </w:t>
      </w:r>
      <w:r>
        <w:rPr>
          <w:szCs w:val="24"/>
        </w:rPr>
        <w:lastRenderedPageBreak/>
        <w:t xml:space="preserve">assessments of the situation of organized crime have been conducted in </w:t>
      </w:r>
      <w:proofErr w:type="spellStart"/>
      <w:r>
        <w:rPr>
          <w:szCs w:val="24"/>
        </w:rPr>
        <w:t>BiH</w:t>
      </w:r>
      <w:proofErr w:type="spellEnd"/>
      <w:r>
        <w:rPr>
          <w:szCs w:val="24"/>
        </w:rPr>
        <w:t xml:space="preserve">. The official position on organized crime in </w:t>
      </w:r>
      <w:proofErr w:type="spellStart"/>
      <w:r>
        <w:rPr>
          <w:szCs w:val="24"/>
        </w:rPr>
        <w:t>BiH</w:t>
      </w:r>
      <w:proofErr w:type="spellEnd"/>
      <w:r>
        <w:rPr>
          <w:szCs w:val="24"/>
        </w:rPr>
        <w:t xml:space="preserve"> indicates that it is a very dangerous and harmful phenomenon, which directly affects the stability and security of the country, undermines the rule of law, and harms economic growth (</w:t>
      </w:r>
      <w:proofErr w:type="spellStart"/>
      <w:r>
        <w:rPr>
          <w:szCs w:val="24"/>
        </w:rPr>
        <w:t>Savjet</w:t>
      </w:r>
      <w:proofErr w:type="spellEnd"/>
      <w:r>
        <w:rPr>
          <w:szCs w:val="24"/>
        </w:rPr>
        <w:t xml:space="preserve"> </w:t>
      </w:r>
      <w:proofErr w:type="spellStart"/>
      <w:r>
        <w:rPr>
          <w:szCs w:val="24"/>
        </w:rPr>
        <w:t>ministara</w:t>
      </w:r>
      <w:proofErr w:type="spellEnd"/>
      <w:r>
        <w:rPr>
          <w:szCs w:val="24"/>
        </w:rPr>
        <w:t xml:space="preserve"> </w:t>
      </w:r>
      <w:proofErr w:type="spellStart"/>
      <w:r>
        <w:rPr>
          <w:szCs w:val="24"/>
        </w:rPr>
        <w:t>BiH</w:t>
      </w:r>
      <w:proofErr w:type="spellEnd"/>
      <w:r>
        <w:rPr>
          <w:szCs w:val="24"/>
        </w:rPr>
        <w:t xml:space="preserve"> [SM </w:t>
      </w:r>
      <w:proofErr w:type="spellStart"/>
      <w:r>
        <w:rPr>
          <w:szCs w:val="24"/>
        </w:rPr>
        <w:t>BiH</w:t>
      </w:r>
      <w:proofErr w:type="spellEnd"/>
      <w:r>
        <w:rPr>
          <w:szCs w:val="24"/>
        </w:rPr>
        <w:t xml:space="preserve">], 2017: 7). In this regard, the document </w:t>
      </w:r>
      <w:proofErr w:type="gramStart"/>
      <w:r>
        <w:rPr>
          <w:szCs w:val="24"/>
        </w:rPr>
        <w:t>entitled  “</w:t>
      </w:r>
      <w:proofErr w:type="gramEnd"/>
      <w:r>
        <w:rPr>
          <w:szCs w:val="24"/>
        </w:rPr>
        <w:t xml:space="preserve">Organized crime threat assessment in </w:t>
      </w:r>
      <w:proofErr w:type="spellStart"/>
      <w:r>
        <w:rPr>
          <w:szCs w:val="24"/>
        </w:rPr>
        <w:t>BiH</w:t>
      </w:r>
      <w:proofErr w:type="spellEnd"/>
      <w:r>
        <w:rPr>
          <w:szCs w:val="24"/>
        </w:rPr>
        <w:t xml:space="preserve">“ and adopted by the </w:t>
      </w:r>
      <w:proofErr w:type="spellStart"/>
      <w:r>
        <w:rPr>
          <w:szCs w:val="24"/>
        </w:rPr>
        <w:t>Savjet</w:t>
      </w:r>
      <w:proofErr w:type="spellEnd"/>
      <w:r>
        <w:rPr>
          <w:szCs w:val="24"/>
        </w:rPr>
        <w:t xml:space="preserve"> </w:t>
      </w:r>
      <w:proofErr w:type="spellStart"/>
      <w:r>
        <w:rPr>
          <w:szCs w:val="24"/>
        </w:rPr>
        <w:t>Ministara</w:t>
      </w:r>
      <w:proofErr w:type="spellEnd"/>
      <w:r>
        <w:rPr>
          <w:szCs w:val="24"/>
        </w:rPr>
        <w:t xml:space="preserve"> (</w:t>
      </w:r>
      <w:proofErr w:type="spellStart"/>
      <w:r>
        <w:rPr>
          <w:szCs w:val="24"/>
        </w:rPr>
        <w:t>Savjet</w:t>
      </w:r>
      <w:proofErr w:type="spellEnd"/>
      <w:r>
        <w:rPr>
          <w:szCs w:val="24"/>
        </w:rPr>
        <w:t xml:space="preserve"> </w:t>
      </w:r>
      <w:proofErr w:type="spellStart"/>
      <w:r>
        <w:rPr>
          <w:szCs w:val="24"/>
        </w:rPr>
        <w:t>Ministara</w:t>
      </w:r>
      <w:proofErr w:type="spellEnd"/>
      <w:r>
        <w:rPr>
          <w:szCs w:val="24"/>
        </w:rPr>
        <w:t xml:space="preserve"> </w:t>
      </w:r>
      <w:proofErr w:type="spellStart"/>
      <w:r>
        <w:rPr>
          <w:szCs w:val="24"/>
        </w:rPr>
        <w:t>BiH</w:t>
      </w:r>
      <w:proofErr w:type="spellEnd"/>
      <w:r>
        <w:rPr>
          <w:szCs w:val="24"/>
        </w:rPr>
        <w:t xml:space="preserve"> [SM </w:t>
      </w:r>
      <w:proofErr w:type="spellStart"/>
      <w:r>
        <w:rPr>
          <w:szCs w:val="24"/>
        </w:rPr>
        <w:t>BiH</w:t>
      </w:r>
      <w:proofErr w:type="spellEnd"/>
      <w:r>
        <w:rPr>
          <w:szCs w:val="24"/>
        </w:rPr>
        <w:t xml:space="preserve">], 2016), states that all hitherto differentiated forms of organized crime are still present in </w:t>
      </w:r>
      <w:proofErr w:type="spellStart"/>
      <w:r>
        <w:rPr>
          <w:szCs w:val="24"/>
        </w:rPr>
        <w:t>BiH</w:t>
      </w:r>
      <w:proofErr w:type="spellEnd"/>
      <w:r>
        <w:rPr>
          <w:szCs w:val="24"/>
        </w:rPr>
        <w:t xml:space="preserve"> (p. 4). It also points to the tendency in criminal groups in </w:t>
      </w:r>
      <w:proofErr w:type="spellStart"/>
      <w:r>
        <w:rPr>
          <w:szCs w:val="24"/>
        </w:rPr>
        <w:t>BiH</w:t>
      </w:r>
      <w:proofErr w:type="spellEnd"/>
      <w:r>
        <w:rPr>
          <w:szCs w:val="24"/>
        </w:rPr>
        <w:t xml:space="preserve"> and countries in the region, which relates to the emergence of young perpetrators and their gradual introduction as increasingly important perpetrators of various types of organized crime offenses (</w:t>
      </w:r>
      <w:proofErr w:type="spellStart"/>
      <w:r>
        <w:rPr>
          <w:szCs w:val="24"/>
        </w:rPr>
        <w:t>Ministarstvo</w:t>
      </w:r>
      <w:proofErr w:type="spellEnd"/>
      <w:r>
        <w:rPr>
          <w:szCs w:val="24"/>
        </w:rPr>
        <w:t xml:space="preserve"> </w:t>
      </w:r>
      <w:proofErr w:type="spellStart"/>
      <w:r>
        <w:rPr>
          <w:szCs w:val="24"/>
        </w:rPr>
        <w:t>bezbjednosti</w:t>
      </w:r>
      <w:proofErr w:type="spellEnd"/>
      <w:r>
        <w:rPr>
          <w:szCs w:val="24"/>
        </w:rPr>
        <w:t xml:space="preserve"> </w:t>
      </w:r>
      <w:proofErr w:type="spellStart"/>
      <w:r>
        <w:rPr>
          <w:szCs w:val="24"/>
        </w:rPr>
        <w:t>BiH</w:t>
      </w:r>
      <w:proofErr w:type="spellEnd"/>
      <w:r>
        <w:rPr>
          <w:szCs w:val="24"/>
        </w:rPr>
        <w:t xml:space="preserve">, [MB </w:t>
      </w:r>
      <w:proofErr w:type="spellStart"/>
      <w:r>
        <w:rPr>
          <w:szCs w:val="24"/>
        </w:rPr>
        <w:t>BiH</w:t>
      </w:r>
      <w:proofErr w:type="spellEnd"/>
      <w:r>
        <w:rPr>
          <w:szCs w:val="24"/>
        </w:rPr>
        <w:t xml:space="preserve">], 2018: 27).  At the same time, according to the UNODC (2020) data collected in </w:t>
      </w:r>
      <w:proofErr w:type="spellStart"/>
      <w:r>
        <w:rPr>
          <w:szCs w:val="24"/>
        </w:rPr>
        <w:t>BiH</w:t>
      </w:r>
      <w:proofErr w:type="spellEnd"/>
      <w:r>
        <w:rPr>
          <w:szCs w:val="24"/>
        </w:rPr>
        <w:t xml:space="preserve"> for the period 2012-2017, the majority of convictions for organized crime offenses are related to arms trafficking, with as much as 76% of all convictions, while convictions for drug trafficking accounted for 17%. ‘’According to available data, the largest number of organized criminal groups in </w:t>
      </w:r>
      <w:proofErr w:type="spellStart"/>
      <w:r>
        <w:rPr>
          <w:szCs w:val="24"/>
        </w:rPr>
        <w:t>BiH</w:t>
      </w:r>
      <w:proofErr w:type="spellEnd"/>
      <w:r>
        <w:rPr>
          <w:szCs w:val="24"/>
        </w:rPr>
        <w:t xml:space="preserve"> are engaged </w:t>
      </w:r>
      <w:r>
        <w:t>in illicit trafficking in narcotics and human trafficking, as these are the most lucrative criminal activities</w:t>
      </w:r>
      <w:r>
        <w:rPr>
          <w:szCs w:val="24"/>
        </w:rPr>
        <w:t xml:space="preserve">” (SM </w:t>
      </w:r>
      <w:proofErr w:type="spellStart"/>
      <w:r>
        <w:rPr>
          <w:szCs w:val="24"/>
        </w:rPr>
        <w:t>BiH</w:t>
      </w:r>
      <w:proofErr w:type="spellEnd"/>
      <w:r>
        <w:rPr>
          <w:szCs w:val="24"/>
        </w:rPr>
        <w:t xml:space="preserve">, 2016: 7). However, it seems that the Western Balkans, including </w:t>
      </w:r>
      <w:proofErr w:type="spellStart"/>
      <w:r>
        <w:rPr>
          <w:szCs w:val="24"/>
        </w:rPr>
        <w:t>BiH</w:t>
      </w:r>
      <w:proofErr w:type="spellEnd"/>
      <w:r>
        <w:rPr>
          <w:szCs w:val="24"/>
        </w:rPr>
        <w:t>, is no longer just a “transit region”, because local drug consumption is also increasing (</w:t>
      </w:r>
      <w:proofErr w:type="spellStart"/>
      <w:r>
        <w:rPr>
          <w:szCs w:val="24"/>
        </w:rPr>
        <w:t>Amerhauzer</w:t>
      </w:r>
      <w:proofErr w:type="spellEnd"/>
      <w:r>
        <w:rPr>
          <w:szCs w:val="24"/>
        </w:rPr>
        <w:t xml:space="preserve"> &amp; Kemp, 2021: 13). To this should be added an increasing number of </w:t>
      </w:r>
      <w:proofErr w:type="spellStart"/>
      <w:r>
        <w:rPr>
          <w:szCs w:val="24"/>
        </w:rPr>
        <w:t>BiH</w:t>
      </w:r>
      <w:proofErr w:type="spellEnd"/>
      <w:r>
        <w:rPr>
          <w:szCs w:val="24"/>
        </w:rPr>
        <w:t xml:space="preserve"> citizens participating in international drug smuggling and trafficking chains (</w:t>
      </w:r>
      <w:proofErr w:type="spellStart"/>
      <w:r>
        <w:rPr>
          <w:szCs w:val="24"/>
        </w:rPr>
        <w:t>Šikman</w:t>
      </w:r>
      <w:proofErr w:type="spellEnd"/>
      <w:r>
        <w:rPr>
          <w:szCs w:val="24"/>
        </w:rPr>
        <w:t xml:space="preserve">, 2019), including residents of other countries who are staying (hiding) in </w:t>
      </w:r>
      <w:proofErr w:type="spellStart"/>
      <w:r>
        <w:rPr>
          <w:szCs w:val="24"/>
        </w:rPr>
        <w:t>BiH</w:t>
      </w:r>
      <w:proofErr w:type="spellEnd"/>
      <w:r>
        <w:rPr>
          <w:szCs w:val="24"/>
        </w:rPr>
        <w:t>.</w:t>
      </w:r>
      <w:r>
        <w:rPr>
          <w:szCs w:val="24"/>
          <w:vertAlign w:val="superscript"/>
        </w:rPr>
        <w:footnoteReference w:id="8"/>
      </w:r>
      <w:r>
        <w:rPr>
          <w:szCs w:val="24"/>
        </w:rPr>
        <w:t xml:space="preserve"> This is a cause for serious concern, which could lead to a sudden expansion of organized crime in </w:t>
      </w:r>
      <w:proofErr w:type="spellStart"/>
      <w:r>
        <w:rPr>
          <w:szCs w:val="24"/>
        </w:rPr>
        <w:t>BiH</w:t>
      </w:r>
      <w:proofErr w:type="spellEnd"/>
      <w:r>
        <w:rPr>
          <w:szCs w:val="24"/>
        </w:rPr>
        <w:t>.</w:t>
      </w:r>
    </w:p>
    <w:p>
      <w:pPr>
        <w:spacing w:after="0" w:line="360" w:lineRule="auto"/>
        <w:ind w:left="170" w:firstLine="720"/>
        <w:jc w:val="both"/>
        <w:rPr>
          <w:szCs w:val="24"/>
        </w:rPr>
      </w:pPr>
      <w:r>
        <w:rPr>
          <w:szCs w:val="24"/>
        </w:rPr>
        <w:t xml:space="preserve">Additionally, a number of studies addressing organized crime in </w:t>
      </w:r>
      <w:proofErr w:type="spellStart"/>
      <w:r>
        <w:rPr>
          <w:szCs w:val="24"/>
        </w:rPr>
        <w:t>BiH</w:t>
      </w:r>
      <w:proofErr w:type="spellEnd"/>
      <w:r>
        <w:rPr>
          <w:szCs w:val="24"/>
        </w:rPr>
        <w:t xml:space="preserve"> indicate that this criminal phenomenon has a huge impact on citizens’ perceptions of security. Thus, the “Study on Organized Crime in </w:t>
      </w:r>
      <w:proofErr w:type="spellStart"/>
      <w:r>
        <w:rPr>
          <w:szCs w:val="24"/>
        </w:rPr>
        <w:t>BiH</w:t>
      </w:r>
      <w:proofErr w:type="spellEnd"/>
      <w:r>
        <w:rPr>
          <w:szCs w:val="24"/>
        </w:rPr>
        <w:t>” reports that “respondents believe that corruption and organized crime contribute to their feeling of being unsafe (69%), followed by violence with the use of weapons 49.3% (bank robberies, shopping malls robberies, cash-in-transit robberies...), and street crime (theft, shoplifting, pickpocketing) with 46.3%” (CSS, 2014: 7). However, this is not reflected in judicial practice regarding organized crime cases.</w:t>
      </w:r>
      <w:r>
        <w:rPr>
          <w:szCs w:val="24"/>
          <w:vertAlign w:val="superscript"/>
        </w:rPr>
        <w:footnoteReference w:id="9"/>
      </w:r>
      <w:r>
        <w:rPr>
          <w:szCs w:val="24"/>
        </w:rPr>
        <w:t xml:space="preserve"> It could even be said that </w:t>
      </w:r>
      <w:r>
        <w:rPr>
          <w:szCs w:val="24"/>
        </w:rPr>
        <w:lastRenderedPageBreak/>
        <w:t xml:space="preserve">this data is contradicting. </w:t>
      </w:r>
      <w:r>
        <w:rPr>
          <w:szCs w:val="24"/>
          <w:lang w:eastAsia="en-GB"/>
        </w:rPr>
        <w:t xml:space="preserve">If we add to this the length of the sentences imposed, which are mainly below the statutory minimum, it is clear that such a penal policy is not in line with the purpose of punishment regarding these offences </w:t>
      </w:r>
      <w:r>
        <w:rPr>
          <w:szCs w:val="24"/>
        </w:rPr>
        <w:t xml:space="preserve">(see more: </w:t>
      </w:r>
      <w:proofErr w:type="spellStart"/>
      <w:r>
        <w:rPr>
          <w:szCs w:val="24"/>
        </w:rPr>
        <w:t>Šikman</w:t>
      </w:r>
      <w:proofErr w:type="spellEnd"/>
      <w:r>
        <w:rPr>
          <w:szCs w:val="24"/>
        </w:rPr>
        <w:t xml:space="preserve">, 2019). </w:t>
      </w:r>
    </w:p>
    <w:p>
      <w:pPr>
        <w:spacing w:after="0" w:line="360" w:lineRule="auto"/>
        <w:ind w:left="170" w:firstLine="720"/>
        <w:jc w:val="both"/>
        <w:rPr>
          <w:szCs w:val="24"/>
        </w:rPr>
      </w:pPr>
    </w:p>
    <w:p>
      <w:pPr>
        <w:shd w:val="clear" w:color="auto" w:fill="FFFFFF"/>
        <w:spacing w:after="0" w:line="360" w:lineRule="auto"/>
        <w:ind w:left="170"/>
        <w:jc w:val="center"/>
        <w:rPr>
          <w:rFonts w:eastAsia="Times New Roman"/>
          <w:b/>
          <w:szCs w:val="24"/>
          <w:lang w:eastAsia="en-GB"/>
        </w:rPr>
      </w:pPr>
      <w:r>
        <w:rPr>
          <w:rFonts w:eastAsia="Times New Roman"/>
          <w:b/>
          <w:szCs w:val="24"/>
          <w:lang w:eastAsia="en-GB"/>
        </w:rPr>
        <w:t>Criminal-law framework</w:t>
      </w:r>
    </w:p>
    <w:p>
      <w:pPr>
        <w:shd w:val="clear" w:color="auto" w:fill="FFFFFF"/>
        <w:spacing w:after="0" w:line="360" w:lineRule="auto"/>
        <w:ind w:left="2880" w:firstLine="720"/>
        <w:jc w:val="both"/>
        <w:rPr>
          <w:rFonts w:eastAsia="Times New Roman"/>
          <w:b/>
          <w:color w:val="666666"/>
          <w:szCs w:val="24"/>
        </w:rPr>
      </w:pPr>
    </w:p>
    <w:p>
      <w:pPr>
        <w:shd w:val="clear" w:color="auto" w:fill="FFFFFF"/>
        <w:spacing w:after="0" w:line="360" w:lineRule="auto"/>
        <w:ind w:left="170" w:firstLine="720"/>
        <w:jc w:val="both"/>
        <w:rPr>
          <w:rFonts w:eastAsia="Times New Roman"/>
          <w:bCs/>
          <w:szCs w:val="24"/>
          <w:lang w:eastAsia="en-GB"/>
        </w:rPr>
      </w:pPr>
      <w:proofErr w:type="spellStart"/>
      <w:r>
        <w:rPr>
          <w:rFonts w:eastAsia="Times New Roman"/>
          <w:szCs w:val="24"/>
          <w:lang w:eastAsia="en-GB"/>
        </w:rPr>
        <w:t>Krivični</w:t>
      </w:r>
      <w:proofErr w:type="spellEnd"/>
      <w:r>
        <w:rPr>
          <w:rFonts w:eastAsia="Times New Roman"/>
          <w:szCs w:val="24"/>
          <w:lang w:eastAsia="en-GB"/>
        </w:rPr>
        <w:t xml:space="preserve"> </w:t>
      </w:r>
      <w:proofErr w:type="spellStart"/>
      <w:r>
        <w:rPr>
          <w:rFonts w:eastAsia="Times New Roman"/>
          <w:szCs w:val="24"/>
          <w:lang w:eastAsia="en-GB"/>
        </w:rPr>
        <w:t>zakon</w:t>
      </w:r>
      <w:proofErr w:type="spellEnd"/>
      <w:r>
        <w:rPr>
          <w:rFonts w:eastAsia="Times New Roman"/>
          <w:szCs w:val="24"/>
          <w:lang w:eastAsia="en-GB"/>
        </w:rPr>
        <w:t xml:space="preserve"> </w:t>
      </w:r>
      <w:proofErr w:type="spellStart"/>
      <w:r>
        <w:rPr>
          <w:rFonts w:eastAsia="Times New Roman"/>
          <w:szCs w:val="24"/>
          <w:lang w:eastAsia="en-GB"/>
        </w:rPr>
        <w:t>BiH</w:t>
      </w:r>
      <w:proofErr w:type="spellEnd"/>
      <w:r>
        <w:rPr>
          <w:rFonts w:eastAsia="Times New Roman"/>
          <w:szCs w:val="24"/>
          <w:lang w:eastAsia="en-GB"/>
        </w:rPr>
        <w:t xml:space="preserve"> (2003)</w:t>
      </w:r>
      <w:r>
        <w:rPr>
          <w:rFonts w:eastAsia="Times New Roman"/>
          <w:bCs/>
          <w:szCs w:val="24"/>
          <w:lang w:eastAsia="en-GB"/>
        </w:rPr>
        <w:t xml:space="preserve"> defines a structured group (</w:t>
      </w:r>
      <w:r>
        <w:rPr>
          <w:shd w:val="clear" w:color="auto" w:fill="FFFFFF"/>
          <w:lang w:val="sr-Latn-RS"/>
        </w:rPr>
        <w:t>Article 1, para. 21</w:t>
      </w:r>
      <w:r>
        <w:rPr>
          <w:shd w:val="clear" w:color="auto" w:fill="FFFFFF"/>
          <w:lang w:val="sr-Latn-RS"/>
        </w:rPr>
        <w:t>)</w:t>
      </w:r>
      <w:r>
        <w:rPr>
          <w:rFonts w:eastAsia="Times New Roman"/>
          <w:bCs/>
          <w:szCs w:val="24"/>
          <w:lang w:eastAsia="en-GB"/>
        </w:rPr>
        <w:t xml:space="preserve"> and an organized criminal group (</w:t>
      </w:r>
      <w:r>
        <w:rPr>
          <w:shd w:val="clear" w:color="auto" w:fill="FFFFFF"/>
          <w:lang w:val="sr-Latn-RS"/>
        </w:rPr>
        <w:t>Article 1, para. 22</w:t>
      </w:r>
      <w:r>
        <w:rPr>
          <w:rFonts w:eastAsia="Times New Roman"/>
          <w:bCs/>
          <w:szCs w:val="24"/>
          <w:lang w:eastAsia="en-GB"/>
        </w:rPr>
        <w:t xml:space="preserve">) in the General Part. This may be regarded as a reflection of modern criminal policy and harmonization with the Unite Nations Convention against Transnational Organized Crime (2000). Specifically, the definitions of key terms in the Convention </w:t>
      </w:r>
      <w:r>
        <w:rPr>
          <w:rFonts w:eastAsia="Times New Roman"/>
          <w:bCs/>
          <w:szCs w:val="24"/>
          <w:lang w:eastAsia="en-GB"/>
        </w:rPr>
        <w:t>(</w:t>
      </w:r>
      <w:r>
        <w:rPr>
          <w:shd w:val="clear" w:color="auto" w:fill="FFFFFF"/>
          <w:lang w:val="sr-Latn-RS"/>
        </w:rPr>
        <w:t>Article 2)</w:t>
      </w:r>
      <w:r>
        <w:rPr>
          <w:rFonts w:eastAsia="Times New Roman"/>
          <w:bCs/>
          <w:szCs w:val="24"/>
          <w:lang w:eastAsia="en-GB"/>
        </w:rPr>
        <w:t>, such as “organized criminal group” (</w:t>
      </w:r>
      <w:r>
        <w:rPr>
          <w:shd w:val="clear" w:color="auto" w:fill="FFFFFF"/>
          <w:lang w:val="sr-Latn-RS"/>
        </w:rPr>
        <w:t xml:space="preserve">para. </w:t>
      </w:r>
      <w:r>
        <w:rPr>
          <w:shd w:val="clear" w:color="auto" w:fill="FFFFFF"/>
          <w:lang w:val="sr-Latn-RS"/>
        </w:rPr>
        <w:t>a)</w:t>
      </w:r>
      <w:r>
        <w:rPr>
          <w:rFonts w:eastAsia="Times New Roman"/>
          <w:bCs/>
          <w:szCs w:val="24"/>
          <w:lang w:eastAsia="en-GB"/>
        </w:rPr>
        <w:t xml:space="preserve">, “serious crime” </w:t>
      </w:r>
      <w:r>
        <w:rPr>
          <w:rFonts w:eastAsia="Times New Roman"/>
          <w:bCs/>
          <w:szCs w:val="24"/>
          <w:lang w:eastAsia="en-GB"/>
        </w:rPr>
        <w:t>(</w:t>
      </w:r>
      <w:r>
        <w:rPr>
          <w:shd w:val="clear" w:color="auto" w:fill="FFFFFF"/>
          <w:lang w:val="sr-Latn-RS"/>
        </w:rPr>
        <w:t xml:space="preserve">para. </w:t>
      </w:r>
      <w:r>
        <w:rPr>
          <w:shd w:val="clear" w:color="auto" w:fill="FFFFFF"/>
          <w:lang w:val="sr-Latn-RS"/>
        </w:rPr>
        <w:t>b</w:t>
      </w:r>
      <w:r>
        <w:rPr>
          <w:shd w:val="clear" w:color="auto" w:fill="FFFFFF"/>
          <w:lang w:val="sr-Latn-RS"/>
        </w:rPr>
        <w:t>)</w:t>
      </w:r>
      <w:r>
        <w:rPr>
          <w:shd w:val="clear" w:color="auto" w:fill="FFFFFF"/>
          <w:lang w:val="sr-Latn-RS"/>
        </w:rPr>
        <w:t xml:space="preserve"> </w:t>
      </w:r>
      <w:r>
        <w:rPr>
          <w:rFonts w:eastAsia="Times New Roman"/>
          <w:bCs/>
          <w:szCs w:val="24"/>
          <w:lang w:eastAsia="en-GB"/>
        </w:rPr>
        <w:t>and “structured group”</w:t>
      </w:r>
      <w:r>
        <w:rPr>
          <w:rFonts w:eastAsia="Times New Roman"/>
          <w:szCs w:val="24"/>
          <w:lang w:eastAsia="en-GB"/>
        </w:rPr>
        <w:t xml:space="preserve"> </w:t>
      </w:r>
      <w:r>
        <w:rPr>
          <w:rFonts w:eastAsia="Times New Roman"/>
          <w:bCs/>
          <w:szCs w:val="24"/>
          <w:lang w:eastAsia="en-GB"/>
        </w:rPr>
        <w:t>(</w:t>
      </w:r>
      <w:r>
        <w:rPr>
          <w:shd w:val="clear" w:color="auto" w:fill="FFFFFF"/>
          <w:lang w:val="sr-Latn-RS"/>
        </w:rPr>
        <w:t xml:space="preserve">para. </w:t>
      </w:r>
      <w:r>
        <w:rPr>
          <w:shd w:val="clear" w:color="auto" w:fill="FFFFFF"/>
          <w:lang w:val="sr-Latn-RS"/>
        </w:rPr>
        <w:t>c</w:t>
      </w:r>
      <w:r>
        <w:rPr>
          <w:shd w:val="clear" w:color="auto" w:fill="FFFFFF"/>
          <w:lang w:val="sr-Latn-RS"/>
        </w:rPr>
        <w:t>)</w:t>
      </w:r>
      <w:r>
        <w:rPr>
          <w:rFonts w:eastAsia="Times New Roman"/>
          <w:bCs/>
          <w:szCs w:val="24"/>
          <w:lang w:eastAsia="en-GB"/>
        </w:rPr>
        <w:t xml:space="preserve">make a clear distinction between  organized crime and other criminal offences. In this sense, the criminal offense of organized crime (Article 250) has two forms. The first form refers to </w:t>
      </w:r>
      <w:r>
        <w:rPr>
          <w:rFonts w:eastAsia="Times New Roman"/>
          <w:szCs w:val="24"/>
          <w:lang w:eastAsia="en-GB"/>
        </w:rPr>
        <w:t xml:space="preserve">an individual who commits a criminal offense provided for in the </w:t>
      </w:r>
      <w:proofErr w:type="spellStart"/>
      <w:r>
        <w:rPr>
          <w:rFonts w:eastAsia="Times New Roman"/>
          <w:szCs w:val="24"/>
          <w:lang w:eastAsia="en-GB"/>
        </w:rPr>
        <w:t>BiH</w:t>
      </w:r>
      <w:proofErr w:type="spellEnd"/>
      <w:r>
        <w:rPr>
          <w:rFonts w:eastAsia="Times New Roman"/>
          <w:szCs w:val="24"/>
          <w:lang w:eastAsia="en-GB"/>
        </w:rPr>
        <w:t xml:space="preserve"> Criminal Code as a member of an organized criminal group, unless a more severe penalty is prescribed for a particular criminal offense (paragraph 1), or an individual who, as a member of an organized criminal group, commits a criminal offense provided for in the </w:t>
      </w:r>
      <w:proofErr w:type="spellStart"/>
      <w:r>
        <w:rPr>
          <w:rFonts w:eastAsia="Times New Roman"/>
          <w:szCs w:val="24"/>
          <w:lang w:eastAsia="en-GB"/>
        </w:rPr>
        <w:t>BiH</w:t>
      </w:r>
      <w:proofErr w:type="spellEnd"/>
      <w:r>
        <w:rPr>
          <w:rFonts w:eastAsia="Times New Roman"/>
          <w:szCs w:val="24"/>
          <w:lang w:eastAsia="en-GB"/>
        </w:rPr>
        <w:t xml:space="preserve"> Criminal Code, which is punishable by three years in prison or a more severe penalty, unless a more severe penalty is prescribed for a specific criminal offense (paragraph 2). In the first case, the sentence of imprisonment of not less than three years is prescribed, while in the second case, the sentence of imprisonment of not less than five years is prescribed. The second form refers to an individual who organizes or in any way directs and manages an organized criminal group which by joint action commits or attempts to commit a criminal offense provided for in the </w:t>
      </w:r>
      <w:proofErr w:type="spellStart"/>
      <w:r>
        <w:rPr>
          <w:rFonts w:eastAsia="Times New Roman"/>
          <w:szCs w:val="24"/>
          <w:lang w:eastAsia="en-GB"/>
        </w:rPr>
        <w:t>BiH</w:t>
      </w:r>
      <w:proofErr w:type="spellEnd"/>
      <w:r>
        <w:rPr>
          <w:rFonts w:eastAsia="Times New Roman"/>
          <w:szCs w:val="24"/>
          <w:lang w:eastAsia="en-GB"/>
        </w:rPr>
        <w:t xml:space="preserve"> Criminal Code, carrying the sentence of imprisonment of not less than ten years or a long-term sentence (paragraph 3). Less serious forms of this offence occur when an individual becomes a member of an organized criminal group which by joint action commits or attempts to commit a criminal offense provided for in the </w:t>
      </w:r>
      <w:proofErr w:type="spellStart"/>
      <w:r>
        <w:rPr>
          <w:rFonts w:eastAsia="Times New Roman"/>
          <w:szCs w:val="24"/>
          <w:lang w:eastAsia="en-GB"/>
        </w:rPr>
        <w:t>BiH</w:t>
      </w:r>
      <w:proofErr w:type="spellEnd"/>
      <w:r>
        <w:rPr>
          <w:rFonts w:eastAsia="Times New Roman"/>
          <w:szCs w:val="24"/>
          <w:lang w:eastAsia="en-GB"/>
        </w:rPr>
        <w:t xml:space="preserve"> Criminal Code, unless a more severe punishment is prescribed for a particular criminal offense carrying the sentence of imprisonment of at least one year (paragraph 4). Finally, for criminal and political reasons, it is prescribed that a member of an organized criminal group who exposes that group may be released from punishment (paragraph 5). Thus, it is essential to determine the existence of the basic elements of an organized criminal group in a specific criminal event.</w:t>
      </w:r>
    </w:p>
    <w:p>
      <w:pPr>
        <w:shd w:val="clear" w:color="auto" w:fill="FFFFFF"/>
        <w:spacing w:after="0" w:line="360" w:lineRule="auto"/>
        <w:ind w:left="170" w:firstLine="720"/>
        <w:jc w:val="both"/>
        <w:rPr>
          <w:rFonts w:eastAsia="Times New Roman"/>
          <w:szCs w:val="24"/>
          <w:lang w:eastAsia="en-GB"/>
        </w:rPr>
      </w:pPr>
      <w:r>
        <w:rPr>
          <w:rFonts w:eastAsia="Times New Roman"/>
          <w:szCs w:val="24"/>
          <w:lang w:eastAsia="en-GB"/>
        </w:rPr>
        <w:lastRenderedPageBreak/>
        <w:t>Accordingly, it is necessary to prove the connection (objective and subjective in nature) of three or more persons, which exists for a certain period of time and who act in agreement with the aim of committing one or more criminal offenses which carry the sentence of imprisonment of over three years or a more serious sentence, in order to acquire a material gain (Article 1, paragraph 22). In this sense, the main elements of an organized criminal group are the following (USAID, 2019: 88): systematic (the existence of a specific and connected system of work in the operation of the organized criminal group); organized ( the forming and existence of a group with an organizational structure, with clear division of roles among its members); hierarchy (the existence of  superiors and subordinates among organizers and members of the organized criminal group), authority (which is reflected in respect for the decisions and ideas of the group leader); methods applied by the organizers and members of  organized criminal groups in their criminal activities, while the goal of every organized criminal group is always the acquisition of material gain. To this should be added the commission of serious crimes and the impact on public authorities, the judiciary, and citizens (</w:t>
      </w:r>
      <w:proofErr w:type="spellStart"/>
      <w:r>
        <w:rPr>
          <w:rFonts w:eastAsia="Times New Roman"/>
          <w:szCs w:val="24"/>
          <w:lang w:eastAsia="en-GB"/>
        </w:rPr>
        <w:t>Šikman</w:t>
      </w:r>
      <w:proofErr w:type="spellEnd"/>
      <w:r>
        <w:rPr>
          <w:rFonts w:eastAsia="Times New Roman"/>
          <w:szCs w:val="24"/>
          <w:lang w:eastAsia="en-GB"/>
        </w:rPr>
        <w:t>, 2011).</w:t>
      </w:r>
    </w:p>
    <w:p>
      <w:pPr>
        <w:spacing w:after="0" w:line="360" w:lineRule="auto"/>
        <w:ind w:left="170" w:firstLine="550"/>
        <w:jc w:val="both"/>
        <w:rPr>
          <w:rFonts w:eastAsia="Times New Roman"/>
          <w:b/>
          <w:szCs w:val="24"/>
          <w:lang w:eastAsia="en-GB"/>
        </w:rPr>
      </w:pPr>
      <w:r>
        <w:rPr>
          <w:szCs w:val="24"/>
        </w:rPr>
        <w:t xml:space="preserve">This is particularly significant, because determining the clear structure of an organized criminal group, its organizer, the number of its members, their roles and tasks, time frame and motivations for joint actions, represents an important feature of these crimes. </w:t>
      </w:r>
      <w:r>
        <w:rPr>
          <w:rFonts w:eastAsia="Times New Roman"/>
          <w:szCs w:val="24"/>
          <w:lang w:eastAsia="en-GB"/>
        </w:rPr>
        <w:t xml:space="preserve">Therefore, it would be necessary to prove that an organized criminal group was organized to acquire a material gain and had clear hierarchical structure, whereby the organizer acted willfully as an organizer and manager, and members of the group participated in criminal activities willfully as members, so each member carried out predetermined tasks. Within the organization’s activities, an additional criterion for the existence of organized crime had to be met, which consisted of intimidation and threats used by the organizer in relation to other members of the organization (S1 2 K 006087 11 K). In other words, if it is not possible to determine or prove these elements, then the criminal offense of organized crime does not exist </w:t>
      </w:r>
      <w:r>
        <w:rPr>
          <w:szCs w:val="24"/>
        </w:rPr>
        <w:t>(</w:t>
      </w:r>
      <w:proofErr w:type="spellStart"/>
      <w:r>
        <w:rPr>
          <w:szCs w:val="24"/>
        </w:rPr>
        <w:t>Šikman</w:t>
      </w:r>
      <w:proofErr w:type="spellEnd"/>
      <w:r>
        <w:rPr>
          <w:szCs w:val="24"/>
        </w:rPr>
        <w:t>, 2019).</w:t>
      </w:r>
    </w:p>
    <w:p>
      <w:pPr>
        <w:spacing w:after="0" w:line="360" w:lineRule="auto"/>
        <w:ind w:left="170"/>
        <w:jc w:val="center"/>
        <w:rPr>
          <w:rFonts w:eastAsia="Times New Roman"/>
          <w:b/>
          <w:szCs w:val="24"/>
          <w:lang w:eastAsia="en-GB"/>
        </w:rPr>
      </w:pPr>
      <w:r>
        <w:rPr>
          <w:rFonts w:eastAsia="Times New Roman"/>
          <w:b/>
          <w:szCs w:val="24"/>
          <w:lang w:eastAsia="en-GB"/>
        </w:rPr>
        <w:t>Methodology</w:t>
      </w:r>
    </w:p>
    <w:p>
      <w:pPr>
        <w:spacing w:after="0" w:line="360" w:lineRule="auto"/>
        <w:ind w:left="170" w:firstLine="720"/>
        <w:jc w:val="both"/>
        <w:rPr>
          <w:szCs w:val="24"/>
        </w:rPr>
      </w:pPr>
    </w:p>
    <w:p>
      <w:pPr>
        <w:spacing w:after="0" w:line="360" w:lineRule="auto"/>
        <w:ind w:left="170" w:firstLine="720"/>
        <w:jc w:val="both"/>
        <w:rPr>
          <w:szCs w:val="24"/>
        </w:rPr>
      </w:pPr>
      <w:r>
        <w:rPr>
          <w:szCs w:val="24"/>
        </w:rPr>
        <w:t>A secondary analysis of the data contained in the court cases for organized crime conducted before the Court of Bosnia and Herzegovina</w:t>
      </w:r>
      <w:r>
        <w:rPr>
          <w:szCs w:val="24"/>
          <w:vertAlign w:val="superscript"/>
        </w:rPr>
        <w:footnoteReference w:id="10"/>
      </w:r>
      <w:r>
        <w:rPr>
          <w:szCs w:val="24"/>
        </w:rPr>
        <w:t xml:space="preserve"> in the period 2015-2018 was carried </w:t>
      </w:r>
      <w:r>
        <w:rPr>
          <w:szCs w:val="24"/>
        </w:rPr>
        <w:lastRenderedPageBreak/>
        <w:t>out (</w:t>
      </w:r>
      <w:proofErr w:type="spellStart"/>
      <w:r>
        <w:rPr>
          <w:szCs w:val="24"/>
        </w:rPr>
        <w:t>Sud</w:t>
      </w:r>
      <w:proofErr w:type="spellEnd"/>
      <w:r>
        <w:rPr>
          <w:szCs w:val="24"/>
        </w:rPr>
        <w:t xml:space="preserve"> </w:t>
      </w:r>
      <w:proofErr w:type="spellStart"/>
      <w:r>
        <w:rPr>
          <w:szCs w:val="24"/>
        </w:rPr>
        <w:t>BiH</w:t>
      </w:r>
      <w:proofErr w:type="spellEnd"/>
      <w:r>
        <w:rPr>
          <w:szCs w:val="24"/>
        </w:rPr>
        <w:t xml:space="preserve">, </w:t>
      </w:r>
      <w:proofErr w:type="spellStart"/>
      <w:r>
        <w:rPr>
          <w:szCs w:val="24"/>
        </w:rPr>
        <w:t>n.d.</w:t>
      </w:r>
      <w:proofErr w:type="spellEnd"/>
      <w:r>
        <w:rPr>
          <w:szCs w:val="24"/>
        </w:rPr>
        <w:t xml:space="preserve">). The analysis included 21 organized crime court cases, in which 27 judgments were rendered against 44 people. Individual criminal offenses perpetrated by organized criminal groups were selected using subject analysis (see more: </w:t>
      </w:r>
      <w:proofErr w:type="spellStart"/>
      <w:r>
        <w:rPr>
          <w:szCs w:val="24"/>
        </w:rPr>
        <w:t>Šikman</w:t>
      </w:r>
      <w:proofErr w:type="spellEnd"/>
      <w:r>
        <w:rPr>
          <w:szCs w:val="24"/>
        </w:rPr>
        <w:t xml:space="preserve">, 2019, Simović &amp; </w:t>
      </w:r>
      <w:proofErr w:type="spellStart"/>
      <w:r>
        <w:rPr>
          <w:szCs w:val="24"/>
        </w:rPr>
        <w:t>Šikman</w:t>
      </w:r>
      <w:proofErr w:type="spellEnd"/>
      <w:r>
        <w:rPr>
          <w:szCs w:val="24"/>
        </w:rPr>
        <w:t>, 2019</w:t>
      </w:r>
      <w:r>
        <w:rPr>
          <w:szCs w:val="24"/>
        </w:rPr>
        <w:t>).</w:t>
      </w:r>
    </w:p>
    <w:p>
      <w:pPr>
        <w:shd w:val="clear" w:color="auto" w:fill="FFFFFF"/>
        <w:spacing w:after="0" w:line="360" w:lineRule="auto"/>
        <w:ind w:left="170" w:firstLine="720"/>
        <w:jc w:val="both"/>
        <w:rPr>
          <w:rFonts w:eastAsia="Times New Roman"/>
          <w:szCs w:val="24"/>
          <w:lang w:eastAsia="en-GB"/>
        </w:rPr>
      </w:pPr>
      <w:r>
        <w:rPr>
          <w:rFonts w:eastAsia="Times New Roman"/>
          <w:szCs w:val="24"/>
          <w:lang w:eastAsia="en-GB"/>
        </w:rPr>
        <w:t>The judgments were analyzed according to the following criteria:</w:t>
      </w:r>
    </w:p>
    <w:p>
      <w:pPr>
        <w:numPr>
          <w:ilvl w:val="0"/>
          <w:numId w:val="4"/>
        </w:numPr>
        <w:spacing w:after="0" w:line="360" w:lineRule="auto"/>
        <w:contextualSpacing/>
        <w:jc w:val="both"/>
        <w:rPr>
          <w:szCs w:val="24"/>
        </w:rPr>
      </w:pPr>
      <w:r>
        <w:rPr>
          <w:szCs w:val="24"/>
        </w:rPr>
        <w:t xml:space="preserve">Number of indicted persons </w:t>
      </w:r>
    </w:p>
    <w:p>
      <w:pPr>
        <w:numPr>
          <w:ilvl w:val="0"/>
          <w:numId w:val="4"/>
        </w:numPr>
        <w:shd w:val="clear" w:color="auto" w:fill="FFFFFF"/>
        <w:spacing w:after="0" w:line="360" w:lineRule="auto"/>
        <w:jc w:val="both"/>
        <w:rPr>
          <w:rFonts w:eastAsia="Times New Roman"/>
          <w:szCs w:val="24"/>
        </w:rPr>
      </w:pPr>
      <w:r>
        <w:rPr>
          <w:rFonts w:eastAsia="Times New Roman"/>
          <w:szCs w:val="24"/>
        </w:rPr>
        <w:t>Continuity of membership</w:t>
      </w:r>
    </w:p>
    <w:p>
      <w:pPr>
        <w:numPr>
          <w:ilvl w:val="1"/>
          <w:numId w:val="4"/>
        </w:numPr>
        <w:shd w:val="clear" w:color="auto" w:fill="FFFFFF"/>
        <w:spacing w:after="0" w:line="360" w:lineRule="auto"/>
        <w:jc w:val="both"/>
        <w:rPr>
          <w:rFonts w:eastAsia="Times New Roman"/>
          <w:szCs w:val="24"/>
        </w:rPr>
      </w:pPr>
      <w:r>
        <w:rPr>
          <w:rFonts w:eastAsia="Times New Roman"/>
          <w:szCs w:val="24"/>
        </w:rPr>
        <w:t>existence of awareness of joint actions</w:t>
      </w:r>
    </w:p>
    <w:p>
      <w:pPr>
        <w:numPr>
          <w:ilvl w:val="1"/>
          <w:numId w:val="4"/>
        </w:numPr>
        <w:shd w:val="clear" w:color="auto" w:fill="FFFFFF"/>
        <w:spacing w:after="0" w:line="360" w:lineRule="auto"/>
        <w:jc w:val="both"/>
        <w:rPr>
          <w:rFonts w:eastAsia="Times New Roman"/>
          <w:szCs w:val="24"/>
        </w:rPr>
      </w:pPr>
      <w:r>
        <w:rPr>
          <w:rFonts w:eastAsia="Times New Roman"/>
          <w:szCs w:val="24"/>
        </w:rPr>
        <w:t>execution of activity for the purpose of joint action</w:t>
      </w:r>
    </w:p>
    <w:p>
      <w:pPr>
        <w:numPr>
          <w:ilvl w:val="0"/>
          <w:numId w:val="4"/>
        </w:numPr>
        <w:shd w:val="clear" w:color="auto" w:fill="FFFFFF"/>
        <w:spacing w:after="0" w:line="360" w:lineRule="auto"/>
        <w:jc w:val="both"/>
        <w:rPr>
          <w:rFonts w:eastAsia="Times New Roman"/>
          <w:szCs w:val="24"/>
        </w:rPr>
      </w:pPr>
      <w:r>
        <w:rPr>
          <w:rFonts w:eastAsia="Times New Roman"/>
          <w:szCs w:val="24"/>
        </w:rPr>
        <w:t>The existence of criminal structure</w:t>
      </w:r>
    </w:p>
    <w:p>
      <w:pPr>
        <w:numPr>
          <w:ilvl w:val="1"/>
          <w:numId w:val="4"/>
        </w:numPr>
        <w:shd w:val="clear" w:color="auto" w:fill="FFFFFF"/>
        <w:spacing w:after="0" w:line="360" w:lineRule="auto"/>
        <w:jc w:val="both"/>
        <w:rPr>
          <w:rFonts w:eastAsia="Times New Roman"/>
          <w:szCs w:val="24"/>
        </w:rPr>
      </w:pPr>
      <w:r>
        <w:rPr>
          <w:rFonts w:eastAsia="Times New Roman"/>
          <w:szCs w:val="24"/>
        </w:rPr>
        <w:t>organizer/and groups</w:t>
      </w:r>
    </w:p>
    <w:p>
      <w:pPr>
        <w:numPr>
          <w:ilvl w:val="1"/>
          <w:numId w:val="4"/>
        </w:numPr>
        <w:shd w:val="clear" w:color="auto" w:fill="FFFFFF"/>
        <w:spacing w:after="0" w:line="360" w:lineRule="auto"/>
        <w:jc w:val="both"/>
        <w:rPr>
          <w:rFonts w:eastAsia="Times New Roman"/>
          <w:szCs w:val="24"/>
        </w:rPr>
      </w:pPr>
      <w:r>
        <w:rPr>
          <w:rFonts w:eastAsia="Times New Roman"/>
          <w:szCs w:val="24"/>
        </w:rPr>
        <w:t>membership in the group</w:t>
      </w:r>
    </w:p>
    <w:p>
      <w:pPr>
        <w:numPr>
          <w:ilvl w:val="0"/>
          <w:numId w:val="4"/>
        </w:numPr>
        <w:shd w:val="clear" w:color="auto" w:fill="FFFFFF"/>
        <w:spacing w:after="0" w:line="360" w:lineRule="auto"/>
        <w:jc w:val="both"/>
        <w:rPr>
          <w:rFonts w:eastAsia="Times New Roman"/>
          <w:szCs w:val="24"/>
        </w:rPr>
      </w:pPr>
      <w:r>
        <w:rPr>
          <w:rFonts w:eastAsia="Times New Roman"/>
          <w:szCs w:val="24"/>
        </w:rPr>
        <w:t>The existence of a developed plan of activities</w:t>
      </w:r>
    </w:p>
    <w:p>
      <w:pPr>
        <w:numPr>
          <w:ilvl w:val="1"/>
          <w:numId w:val="4"/>
        </w:numPr>
        <w:shd w:val="clear" w:color="auto" w:fill="FFFFFF"/>
        <w:spacing w:after="0" w:line="360" w:lineRule="auto"/>
        <w:jc w:val="both"/>
        <w:rPr>
          <w:rFonts w:eastAsia="Times New Roman"/>
          <w:szCs w:val="24"/>
        </w:rPr>
      </w:pPr>
      <w:r>
        <w:rPr>
          <w:rFonts w:eastAsia="Times New Roman"/>
          <w:szCs w:val="24"/>
        </w:rPr>
        <w:t>division of roles</w:t>
      </w:r>
    </w:p>
    <w:p>
      <w:pPr>
        <w:numPr>
          <w:ilvl w:val="1"/>
          <w:numId w:val="4"/>
        </w:numPr>
        <w:shd w:val="clear" w:color="auto" w:fill="FFFFFF"/>
        <w:spacing w:after="0" w:line="360" w:lineRule="auto"/>
        <w:jc w:val="both"/>
        <w:rPr>
          <w:rFonts w:eastAsia="Times New Roman"/>
          <w:szCs w:val="24"/>
        </w:rPr>
      </w:pPr>
      <w:r>
        <w:rPr>
          <w:rFonts w:eastAsia="Times New Roman"/>
          <w:szCs w:val="24"/>
        </w:rPr>
        <w:t>type of duty</w:t>
      </w:r>
    </w:p>
    <w:p>
      <w:pPr>
        <w:numPr>
          <w:ilvl w:val="0"/>
          <w:numId w:val="4"/>
        </w:numPr>
        <w:shd w:val="clear" w:color="auto" w:fill="FFFFFF"/>
        <w:spacing w:after="0" w:line="360" w:lineRule="auto"/>
        <w:jc w:val="both"/>
        <w:rPr>
          <w:rFonts w:eastAsia="Times New Roman"/>
          <w:szCs w:val="24"/>
        </w:rPr>
      </w:pPr>
      <w:r>
        <w:rPr>
          <w:rFonts w:eastAsia="Times New Roman"/>
          <w:szCs w:val="24"/>
        </w:rPr>
        <w:t xml:space="preserve">Type and number of criminal offenses committed </w:t>
      </w:r>
    </w:p>
    <w:p>
      <w:pPr>
        <w:numPr>
          <w:ilvl w:val="0"/>
          <w:numId w:val="4"/>
        </w:numPr>
        <w:shd w:val="clear" w:color="auto" w:fill="FFFFFF"/>
        <w:spacing w:after="0" w:line="360" w:lineRule="auto"/>
        <w:jc w:val="both"/>
        <w:rPr>
          <w:rFonts w:eastAsia="Times New Roman"/>
          <w:szCs w:val="24"/>
        </w:rPr>
      </w:pPr>
      <w:r>
        <w:rPr>
          <w:rFonts w:eastAsia="Times New Roman"/>
          <w:szCs w:val="24"/>
        </w:rPr>
        <w:t>Influence on public authorities, judicial bodies and citizens</w:t>
      </w:r>
    </w:p>
    <w:p>
      <w:pPr>
        <w:numPr>
          <w:ilvl w:val="0"/>
          <w:numId w:val="4"/>
        </w:numPr>
        <w:shd w:val="clear" w:color="auto" w:fill="FFFFFF"/>
        <w:spacing w:after="0" w:line="360" w:lineRule="auto"/>
        <w:jc w:val="both"/>
        <w:rPr>
          <w:rFonts w:eastAsia="Times New Roman"/>
          <w:szCs w:val="24"/>
        </w:rPr>
      </w:pPr>
      <w:r>
        <w:rPr>
          <w:rFonts w:eastAsia="Times New Roman"/>
          <w:szCs w:val="24"/>
        </w:rPr>
        <w:t>Criminal sanctions imposed against defendants</w:t>
      </w:r>
    </w:p>
    <w:p>
      <w:pPr>
        <w:shd w:val="clear" w:color="auto" w:fill="FFFFFF"/>
        <w:spacing w:after="0" w:line="360" w:lineRule="auto"/>
        <w:ind w:left="170" w:firstLine="720"/>
        <w:jc w:val="both"/>
        <w:rPr>
          <w:rFonts w:eastAsia="Times New Roman"/>
          <w:szCs w:val="24"/>
          <w:lang w:eastAsia="en-GB"/>
        </w:rPr>
      </w:pPr>
      <w:r>
        <w:rPr>
          <w:rFonts w:eastAsia="Times New Roman"/>
          <w:szCs w:val="24"/>
          <w:lang w:eastAsia="en-GB"/>
        </w:rPr>
        <w:t>For the purposes of data analysis, a matrix was created in which the previously coded parts of the text of the judgments were entered. All entered data from the judgments were analyzed according to the established criteria.</w:t>
      </w:r>
    </w:p>
    <w:p>
      <w:pPr>
        <w:shd w:val="clear" w:color="auto" w:fill="FFFFFF"/>
        <w:spacing w:after="0" w:line="360" w:lineRule="auto"/>
        <w:ind w:left="170"/>
        <w:jc w:val="both"/>
        <w:rPr>
          <w:rFonts w:eastAsia="Times New Roman"/>
          <w:b/>
          <w:szCs w:val="24"/>
          <w:lang w:eastAsia="en-GB"/>
        </w:rPr>
      </w:pPr>
    </w:p>
    <w:p>
      <w:pPr>
        <w:shd w:val="clear" w:color="auto" w:fill="FFFFFF"/>
        <w:spacing w:after="0" w:line="360" w:lineRule="auto"/>
        <w:ind w:left="170"/>
        <w:jc w:val="center"/>
        <w:rPr>
          <w:rFonts w:eastAsia="Times New Roman"/>
          <w:b/>
          <w:szCs w:val="24"/>
          <w:lang w:eastAsia="en-GB"/>
        </w:rPr>
      </w:pPr>
      <w:r>
        <w:rPr>
          <w:rFonts w:eastAsia="Times New Roman"/>
          <w:b/>
          <w:szCs w:val="24"/>
          <w:lang w:eastAsia="en-GB"/>
        </w:rPr>
        <w:t>Findings</w:t>
      </w:r>
    </w:p>
    <w:p>
      <w:pPr>
        <w:spacing w:after="0" w:line="360" w:lineRule="auto"/>
        <w:ind w:left="170"/>
        <w:jc w:val="both"/>
        <w:rPr>
          <w:rFonts w:eastAsia="Times New Roman"/>
          <w:szCs w:val="24"/>
        </w:rPr>
      </w:pPr>
    </w:p>
    <w:p>
      <w:pPr>
        <w:spacing w:after="0" w:line="360" w:lineRule="auto"/>
        <w:ind w:left="170" w:firstLine="720"/>
        <w:jc w:val="both"/>
        <w:rPr>
          <w:szCs w:val="24"/>
        </w:rPr>
      </w:pPr>
      <w:r>
        <w:rPr>
          <w:szCs w:val="24"/>
        </w:rPr>
        <w:t>In the analyzed court judgments, the number and composition of the group</w:t>
      </w:r>
      <w:r>
        <w:rPr>
          <w:szCs w:val="24"/>
          <w:vertAlign w:val="superscript"/>
        </w:rPr>
        <w:footnoteReference w:id="11"/>
      </w:r>
      <w:r>
        <w:rPr>
          <w:szCs w:val="24"/>
        </w:rPr>
        <w:t xml:space="preserve"> was different and ranged from the minimum number of members, that is, three to 32 members. According to the gender structure of perpetrators, male perpetrators dominated,</w:t>
      </w:r>
      <w:r>
        <w:rPr>
          <w:szCs w:val="24"/>
          <w:vertAlign w:val="superscript"/>
        </w:rPr>
        <w:footnoteReference w:id="12"/>
      </w:r>
      <w:r>
        <w:rPr>
          <w:szCs w:val="24"/>
        </w:rPr>
        <w:t xml:space="preserve"> while their age structure varied from 23 to 55 years of age, with the largest number of convicted persons being between 30 and 50 years old. A number of the criminal groups analyzed had a clear </w:t>
      </w:r>
      <w:r>
        <w:rPr>
          <w:szCs w:val="24"/>
        </w:rPr>
        <w:lastRenderedPageBreak/>
        <w:t>hierarchical structure (S1 2 K 006087 11 K and S1 2 K 015384 14 K), while other groups were made up of interconnected persons with loose connections between them</w:t>
      </w:r>
      <w:r>
        <w:rPr>
          <w:color w:val="FF0000"/>
          <w:szCs w:val="24"/>
        </w:rPr>
        <w:t xml:space="preserve"> </w:t>
      </w:r>
      <w:r>
        <w:rPr>
          <w:szCs w:val="24"/>
        </w:rPr>
        <w:t>(S1 2 K 020632 16 K; S1 2 K 024459 17 K; S1 2 K 025666 17 K) ((</w:t>
      </w:r>
      <w:proofErr w:type="spellStart"/>
      <w:r>
        <w:rPr>
          <w:szCs w:val="24"/>
        </w:rPr>
        <w:t>Šikman</w:t>
      </w:r>
      <w:proofErr w:type="spellEnd"/>
      <w:r>
        <w:rPr>
          <w:szCs w:val="24"/>
        </w:rPr>
        <w:t>, 2019</w:t>
      </w:r>
    </w:p>
    <w:p>
      <w:pPr>
        <w:shd w:val="clear" w:color="auto" w:fill="FFFFFF"/>
        <w:spacing w:after="0" w:line="360" w:lineRule="auto"/>
        <w:ind w:left="170" w:firstLine="720"/>
        <w:jc w:val="both"/>
        <w:rPr>
          <w:rFonts w:eastAsia="Times New Roman"/>
          <w:szCs w:val="24"/>
        </w:rPr>
      </w:pPr>
      <w:r>
        <w:rPr>
          <w:rFonts w:eastAsia="Times New Roman"/>
          <w:szCs w:val="24"/>
        </w:rPr>
        <w:t xml:space="preserve">Our findings indicated that all the criteria based on which we qualify a certain criminal activity as organized crime were fully met in two cases only. The criminal cases filed against Z.T. et al (S1 2 K 006087 14 </w:t>
      </w:r>
      <w:proofErr w:type="spellStart"/>
      <w:r>
        <w:rPr>
          <w:rFonts w:eastAsia="Times New Roman"/>
          <w:szCs w:val="24"/>
        </w:rPr>
        <w:t>Kžk</w:t>
      </w:r>
      <w:proofErr w:type="spellEnd"/>
      <w:r>
        <w:rPr>
          <w:rFonts w:eastAsia="Times New Roman"/>
          <w:szCs w:val="24"/>
        </w:rPr>
        <w:t xml:space="preserve">) and D.E. et al (S1 2 K 013756 15 </w:t>
      </w:r>
      <w:proofErr w:type="spellStart"/>
      <w:r>
        <w:rPr>
          <w:rFonts w:eastAsia="Times New Roman"/>
          <w:szCs w:val="24"/>
        </w:rPr>
        <w:t>Kž</w:t>
      </w:r>
      <w:proofErr w:type="spellEnd"/>
      <w:r>
        <w:rPr>
          <w:rFonts w:eastAsia="Times New Roman"/>
          <w:szCs w:val="24"/>
        </w:rPr>
        <w:t xml:space="preserve"> 3; S1 2 K 015384 17 </w:t>
      </w:r>
      <w:proofErr w:type="spellStart"/>
      <w:r>
        <w:rPr>
          <w:rFonts w:eastAsia="Times New Roman"/>
          <w:szCs w:val="24"/>
        </w:rPr>
        <w:t>Kž</w:t>
      </w:r>
      <w:proofErr w:type="spellEnd"/>
      <w:r>
        <w:rPr>
          <w:rFonts w:eastAsia="Times New Roman"/>
          <w:szCs w:val="24"/>
        </w:rPr>
        <w:t xml:space="preserve">), are as follows: </w:t>
      </w:r>
    </w:p>
    <w:p>
      <w:pPr>
        <w:numPr>
          <w:ilvl w:val="0"/>
          <w:numId w:val="4"/>
        </w:numPr>
        <w:shd w:val="clear" w:color="auto" w:fill="FFFFFF"/>
        <w:tabs>
          <w:tab w:val="left" w:pos="990"/>
        </w:tabs>
        <w:spacing w:after="0" w:line="360" w:lineRule="auto"/>
        <w:ind w:firstLine="720"/>
        <w:jc w:val="both"/>
        <w:rPr>
          <w:rFonts w:eastAsia="Times New Roman"/>
          <w:szCs w:val="24"/>
        </w:rPr>
      </w:pPr>
      <w:r>
        <w:rPr>
          <w:rFonts w:eastAsia="Times New Roman"/>
          <w:szCs w:val="24"/>
        </w:rPr>
        <w:t>The criminal group Z.T consisted of 14 members, while the criminal group D.E. consisted of 32 members;</w:t>
      </w:r>
    </w:p>
    <w:p>
      <w:pPr>
        <w:numPr>
          <w:ilvl w:val="0"/>
          <w:numId w:val="4"/>
        </w:numPr>
        <w:shd w:val="clear" w:color="auto" w:fill="FFFFFF"/>
        <w:tabs>
          <w:tab w:val="left" w:pos="450"/>
          <w:tab w:val="left" w:pos="990"/>
        </w:tabs>
        <w:spacing w:after="0" w:line="360" w:lineRule="auto"/>
        <w:ind w:firstLine="720"/>
        <w:jc w:val="both"/>
        <w:rPr>
          <w:rFonts w:eastAsia="Times New Roman"/>
          <w:szCs w:val="24"/>
          <w:lang w:eastAsia="en-GB"/>
        </w:rPr>
      </w:pPr>
      <w:r>
        <w:rPr>
          <w:rFonts w:eastAsia="Times New Roman"/>
          <w:szCs w:val="24"/>
          <w:lang w:eastAsia="en-GB"/>
        </w:rPr>
        <w:t>The criminal group Z.T. operated from early 2005 to September 2010, while the criminal group D.E. operated from 2005 to 2008. The continuity of membership in the organized criminal group follows from the above, considering that this is a “certain” period of time. In contrast, in some criminal cases, it was established that the group operated for six months (S1 2 K 019373 15 K; S1 2 K 017901 15 K; S1 2 K 019332 15 K; S1 2 K 023109 16 K), which is obviously a period of time during which special investigative actions are applied, therefore the elements of continuity of membership are not visible in the reasoning of the judgment</w:t>
      </w:r>
      <w:r>
        <w:rPr>
          <w:rFonts w:eastAsia="Times New Roman"/>
          <w:szCs w:val="24"/>
        </w:rPr>
        <w:t>;</w:t>
      </w:r>
    </w:p>
    <w:p>
      <w:pPr>
        <w:numPr>
          <w:ilvl w:val="0"/>
          <w:numId w:val="4"/>
        </w:numPr>
        <w:shd w:val="clear" w:color="auto" w:fill="FFFFFF"/>
        <w:tabs>
          <w:tab w:val="left" w:pos="450"/>
          <w:tab w:val="left" w:pos="990"/>
        </w:tabs>
        <w:spacing w:after="0" w:line="360" w:lineRule="auto"/>
        <w:ind w:firstLine="720"/>
        <w:jc w:val="both"/>
        <w:rPr>
          <w:rFonts w:eastAsia="Times New Roman"/>
          <w:szCs w:val="24"/>
          <w:lang w:eastAsia="en-GB"/>
        </w:rPr>
      </w:pPr>
      <w:r>
        <w:rPr>
          <w:rFonts w:eastAsia="Times New Roman"/>
          <w:szCs w:val="24"/>
        </w:rPr>
        <w:t xml:space="preserve">During the same period in the cases of Z.T. and D.E. the elements of complicity were achieved, which are reflected in willingness to act jointly (mental elements) and the undertaking of joint actions for the purpose of committing criminal acts (objective elements). In one another court case analyzed, the mentioned elements were </w:t>
      </w:r>
      <w:r>
        <w:rPr>
          <w:rFonts w:eastAsia="Times New Roman"/>
          <w:color w:val="000000" w:themeColor="text1"/>
          <w:szCs w:val="24"/>
        </w:rPr>
        <w:t xml:space="preserve">determined through indications </w:t>
      </w:r>
      <w:r>
        <w:rPr>
          <w:rFonts w:eastAsia="Times New Roman"/>
          <w:szCs w:val="24"/>
        </w:rPr>
        <w:t>(S1 2 K 020632 16 K), which is not typical regarding an organized criminal group. In other words, if the elements of complicity, aiding and abetting cannot be determined on the bases of material and testimonial evidence, then the question arises as to what type of group it is;</w:t>
      </w:r>
    </w:p>
    <w:p>
      <w:pPr>
        <w:numPr>
          <w:ilvl w:val="0"/>
          <w:numId w:val="4"/>
        </w:numPr>
        <w:shd w:val="clear" w:color="auto" w:fill="FFFFFF"/>
        <w:tabs>
          <w:tab w:val="left" w:pos="450"/>
          <w:tab w:val="left" w:pos="990"/>
        </w:tabs>
        <w:spacing w:after="0" w:line="360" w:lineRule="auto"/>
        <w:ind w:firstLine="720"/>
        <w:jc w:val="both"/>
        <w:rPr>
          <w:rFonts w:eastAsia="Times New Roman"/>
          <w:szCs w:val="24"/>
        </w:rPr>
      </w:pPr>
      <w:r>
        <w:rPr>
          <w:rFonts w:eastAsia="Times New Roman"/>
          <w:szCs w:val="24"/>
        </w:rPr>
        <w:t xml:space="preserve">There was an established criminal structure in these criminal groups, because it was clear who the organizer of the criminal group was and who its members were. Thus, in the criminal group D.E., the Court found that: “E.D. and D.B. within each interconnected and organized group: made decisions and ordered the execution of activities, arranged and planed the execution of actions, executed the agreed activities with other members, supervised and controlled the execution of actions and decided on </w:t>
      </w:r>
      <w:r>
        <w:rPr>
          <w:rFonts w:eastAsia="Times New Roman"/>
          <w:color w:val="000000" w:themeColor="text1"/>
          <w:szCs w:val="24"/>
        </w:rPr>
        <w:t xml:space="preserve">the splitting </w:t>
      </w:r>
      <w:r>
        <w:rPr>
          <w:rFonts w:eastAsia="Times New Roman"/>
          <w:szCs w:val="24"/>
        </w:rPr>
        <w:t xml:space="preserve">of </w:t>
      </w:r>
      <w:r>
        <w:rPr>
          <w:rFonts w:eastAsia="Times New Roman"/>
          <w:color w:val="000000" w:themeColor="text1"/>
          <w:szCs w:val="24"/>
        </w:rPr>
        <w:t xml:space="preserve">proceeds derived from the agreed criminal acts executed by the group” (S1 2 K 015384 14 K), whereby the identical qualification </w:t>
      </w:r>
      <w:r>
        <w:rPr>
          <w:rFonts w:eastAsia="Times New Roman"/>
          <w:szCs w:val="24"/>
        </w:rPr>
        <w:t xml:space="preserve">was given in the case of the criminal group Z.T. (S1 2 K 006087 11 K). In contrast to the above, in some criminal </w:t>
      </w:r>
      <w:r>
        <w:rPr>
          <w:rFonts w:eastAsia="Times New Roman"/>
          <w:szCs w:val="24"/>
        </w:rPr>
        <w:lastRenderedPageBreak/>
        <w:t xml:space="preserve">cases the Court considered that there was an organized criminal group “without the need to determine the individual actions or the actions carried out by the organizer of the group, given that membership in the </w:t>
      </w:r>
      <w:r>
        <w:rPr>
          <w:rFonts w:eastAsia="Times New Roman"/>
          <w:color w:val="000000" w:themeColor="text1"/>
          <w:szCs w:val="24"/>
        </w:rPr>
        <w:t xml:space="preserve">group exists as a criminal </w:t>
      </w:r>
      <w:r>
        <w:rPr>
          <w:rFonts w:eastAsia="Times New Roman"/>
          <w:szCs w:val="24"/>
        </w:rPr>
        <w:t xml:space="preserve">offense” (S1 2 K 020632 16 K). Although in this case there is a certain degree of organization, it is evident that the defendants acted quite independently. Also, in the second case, it was stated that the defendant was a member of an organized criminal </w:t>
      </w:r>
      <w:r>
        <w:rPr>
          <w:rFonts w:eastAsia="Times New Roman"/>
          <w:color w:val="000000" w:themeColor="text1"/>
          <w:szCs w:val="24"/>
        </w:rPr>
        <w:t xml:space="preserve">group, but there was nothing that </w:t>
      </w:r>
      <w:r>
        <w:rPr>
          <w:rFonts w:eastAsia="Times New Roman"/>
          <w:szCs w:val="24"/>
        </w:rPr>
        <w:t xml:space="preserve">would indicate the specific organization and structure of the group was stated (S1 2 K 025168 17 </w:t>
      </w:r>
      <w:proofErr w:type="spellStart"/>
      <w:r>
        <w:rPr>
          <w:rFonts w:eastAsia="Times New Roman"/>
          <w:szCs w:val="24"/>
        </w:rPr>
        <w:t>Ko</w:t>
      </w:r>
      <w:proofErr w:type="spellEnd"/>
      <w:r>
        <w:rPr>
          <w:rFonts w:eastAsia="Times New Roman"/>
          <w:szCs w:val="24"/>
        </w:rPr>
        <w:t xml:space="preserve">). Also, in the third criminal case, it was stated that the defendant “developed a plan” and “organized an organized criminal group” (S1 2 K 027624 18 K), </w:t>
      </w:r>
      <w:r>
        <w:rPr>
          <w:rFonts w:eastAsia="Times New Roman"/>
          <w:color w:val="000000" w:themeColor="text1"/>
          <w:szCs w:val="24"/>
        </w:rPr>
        <w:t xml:space="preserve">which cannot be a sufficient explanation </w:t>
      </w:r>
      <w:r>
        <w:rPr>
          <w:rFonts w:eastAsia="Times New Roman"/>
          <w:szCs w:val="24"/>
        </w:rPr>
        <w:t>for the existence of an organized criminal group;</w:t>
      </w:r>
    </w:p>
    <w:p>
      <w:pPr>
        <w:numPr>
          <w:ilvl w:val="0"/>
          <w:numId w:val="4"/>
        </w:numPr>
        <w:shd w:val="clear" w:color="auto" w:fill="FFFFFF"/>
        <w:tabs>
          <w:tab w:val="left" w:pos="450"/>
          <w:tab w:val="left" w:pos="990"/>
        </w:tabs>
        <w:spacing w:after="0" w:line="360" w:lineRule="auto"/>
        <w:ind w:firstLine="720"/>
        <w:jc w:val="both"/>
        <w:rPr>
          <w:rFonts w:eastAsia="Times New Roman"/>
          <w:szCs w:val="24"/>
        </w:rPr>
      </w:pPr>
      <w:r>
        <w:rPr>
          <w:rFonts w:eastAsia="Times New Roman"/>
          <w:szCs w:val="24"/>
        </w:rPr>
        <w:t xml:space="preserve">These criminal groups had a developed plan of the activities of the group, with clearly defined roles and responsibilities of each member. This was proved in the case of the criminal group Z.T (S1 2 K 006087 11 K). A similar legal </w:t>
      </w:r>
      <w:r>
        <w:rPr>
          <w:rFonts w:eastAsia="Times New Roman"/>
          <w:color w:val="000000" w:themeColor="text1"/>
          <w:szCs w:val="24"/>
        </w:rPr>
        <w:t xml:space="preserve">qualification was found in </w:t>
      </w:r>
      <w:r>
        <w:rPr>
          <w:rFonts w:eastAsia="Times New Roman"/>
          <w:szCs w:val="24"/>
        </w:rPr>
        <w:t xml:space="preserve">the case of the criminal group D.E. (S1 2 K 015384 14 K); </w:t>
      </w:r>
    </w:p>
    <w:p>
      <w:pPr>
        <w:numPr>
          <w:ilvl w:val="0"/>
          <w:numId w:val="4"/>
        </w:numPr>
        <w:shd w:val="clear" w:color="auto" w:fill="FFFFFF"/>
        <w:tabs>
          <w:tab w:val="left" w:pos="990"/>
        </w:tabs>
        <w:spacing w:after="0" w:line="360" w:lineRule="auto"/>
        <w:ind w:firstLine="720"/>
        <w:jc w:val="both"/>
        <w:rPr>
          <w:rFonts w:eastAsia="Times New Roman"/>
          <w:szCs w:val="24"/>
        </w:rPr>
      </w:pPr>
      <w:r>
        <w:rPr>
          <w:rFonts w:eastAsia="Times New Roman"/>
          <w:szCs w:val="24"/>
        </w:rPr>
        <w:t xml:space="preserve">The criminal group Z.T. was formed for the purpose of conducting drug trafficking (heroin and cocaine), while the criminal group D.E. was organized for the purpose of committing </w:t>
      </w:r>
      <w:r>
        <w:rPr>
          <w:rFonts w:eastAsia="Times New Roman"/>
          <w:color w:val="000000" w:themeColor="text1"/>
          <w:szCs w:val="24"/>
        </w:rPr>
        <w:t xml:space="preserve">criminal offenses to obtain mutual or personal material gain. </w:t>
      </w:r>
      <w:r>
        <w:rPr>
          <w:rFonts w:eastAsia="Times New Roman"/>
          <w:szCs w:val="24"/>
        </w:rPr>
        <w:t xml:space="preserve">Thus, the criminal group D.E. committed a cash-in-transit robbery in the settlement of </w:t>
      </w:r>
      <w:proofErr w:type="spellStart"/>
      <w:r>
        <w:rPr>
          <w:rFonts w:eastAsia="Times New Roman"/>
          <w:szCs w:val="24"/>
        </w:rPr>
        <w:t>Nedžarići</w:t>
      </w:r>
      <w:proofErr w:type="spellEnd"/>
      <w:r>
        <w:rPr>
          <w:rFonts w:eastAsia="Times New Roman"/>
          <w:szCs w:val="24"/>
        </w:rPr>
        <w:t xml:space="preserve"> in Sarajevo in June 2006, and stole 2.2 million euros which belonged to the Commerce Bank of Sarajevo (S1 2 K 015384 14 K), while the criminal group Z.T. committed a robbery in 2007 at the Sarajevo International Airport (Cargo center) and stole about 2.5 million KM (S1 2 K 006087 11 K);</w:t>
      </w:r>
    </w:p>
    <w:p>
      <w:pPr>
        <w:numPr>
          <w:ilvl w:val="0"/>
          <w:numId w:val="4"/>
        </w:numPr>
        <w:shd w:val="clear" w:color="auto" w:fill="FFFFFF"/>
        <w:tabs>
          <w:tab w:val="left" w:pos="990"/>
        </w:tabs>
        <w:spacing w:after="0" w:line="360" w:lineRule="auto"/>
        <w:ind w:firstLine="720"/>
        <w:contextualSpacing/>
        <w:jc w:val="both"/>
        <w:rPr>
          <w:szCs w:val="24"/>
        </w:rPr>
      </w:pPr>
      <w:r>
        <w:rPr>
          <w:szCs w:val="24"/>
        </w:rPr>
        <w:t>The mentioned criminal groups had committed several criminal offenses during the period of their activity, including those for which purpose they were formed, as well as other serious criminal offenses (for example, the criminal group D.E., among other things, was charged with three murders, an attempted murder, etc.). In other court cases, the persons were charged with the offense of Organized Crime; however, during the course of the criminal proceedings it was determined that the elements of this criminal offense did not exist and the indictment was amended to charge a different criminal offense</w:t>
      </w:r>
      <w:r>
        <w:rPr>
          <w:color w:val="000000"/>
          <w:szCs w:val="24"/>
          <w:vertAlign w:val="superscript"/>
        </w:rPr>
        <w:footnoteReference w:id="13"/>
      </w:r>
      <w:r>
        <w:rPr>
          <w:szCs w:val="24"/>
        </w:rPr>
        <w:t xml:space="preserve"> (S1 2 K 014792 14 K and S1 2 K 023838 16 K). Additionally, </w:t>
      </w:r>
      <w:r>
        <w:rPr>
          <w:szCs w:val="24"/>
        </w:rPr>
        <w:lastRenderedPageBreak/>
        <w:t xml:space="preserve">persons were charged with the criminal offense of Organized Crime in conjunction with the criminal offense of Forgery of Documents and Verification of False Content in three studied court cases, (S1 2 K 027624 18 K; S1 2 K 026064 17 </w:t>
      </w:r>
      <w:proofErr w:type="spellStart"/>
      <w:r>
        <w:rPr>
          <w:szCs w:val="24"/>
        </w:rPr>
        <w:t>Kž</w:t>
      </w:r>
      <w:proofErr w:type="spellEnd"/>
      <w:r>
        <w:rPr>
          <w:szCs w:val="24"/>
        </w:rPr>
        <w:t xml:space="preserve">; S1 2 K 026155 17 </w:t>
      </w:r>
      <w:proofErr w:type="spellStart"/>
      <w:r>
        <w:rPr>
          <w:szCs w:val="24"/>
        </w:rPr>
        <w:t>Kž</w:t>
      </w:r>
      <w:proofErr w:type="spellEnd"/>
      <w:r>
        <w:rPr>
          <w:szCs w:val="24"/>
        </w:rPr>
        <w:t>), which are certainly not typical organized crime offenses;</w:t>
      </w:r>
    </w:p>
    <w:p>
      <w:pPr>
        <w:numPr>
          <w:ilvl w:val="0"/>
          <w:numId w:val="4"/>
        </w:numPr>
        <w:shd w:val="clear" w:color="auto" w:fill="FFFFFF"/>
        <w:tabs>
          <w:tab w:val="left" w:pos="450"/>
          <w:tab w:val="left" w:pos="900"/>
        </w:tabs>
        <w:spacing w:after="0" w:line="360" w:lineRule="auto"/>
        <w:ind w:firstLine="720"/>
        <w:jc w:val="both"/>
        <w:rPr>
          <w:rFonts w:eastAsia="Times New Roman"/>
          <w:szCs w:val="24"/>
        </w:rPr>
      </w:pPr>
      <w:r>
        <w:rPr>
          <w:rFonts w:eastAsia="Times New Roman"/>
          <w:color w:val="000000" w:themeColor="text1"/>
          <w:szCs w:val="24"/>
        </w:rPr>
        <w:t>By perpetrating their activities</w:t>
      </w:r>
      <w:r>
        <w:rPr>
          <w:rFonts w:eastAsia="Times New Roman"/>
          <w:szCs w:val="24"/>
        </w:rPr>
        <w:t>, these criminal groups exerted impact and disturbed the public. This is supported by the fact that the criminal group Z.T. was proved to have committed five murders in a particularly cruel (e.g., the murder of a pregnant woman), insidious manner (using the victim's trust) and cruel manner (killed, “certified”, by a shot to the head), causing great unrest, fear, and unsafety among the citizens (S1 2 K 006087 11 K). Also, the criminal group D.E. disturbed the general public by the manner in which the crimes were committed. A typical method of execution consisted of firing automatic rifles from a moving vehicle, which had previously been stolen, and, after killing the target, they would abandon and set the vehicle on fire, including the automatic rifles, usually on the inter-entity line</w:t>
      </w:r>
      <w:r>
        <w:rPr>
          <w:rFonts w:eastAsia="Times New Roman"/>
          <w:color w:val="000000" w:themeColor="text1"/>
          <w:szCs w:val="24"/>
        </w:rPr>
        <w:t>, as the means used to commit t</w:t>
      </w:r>
      <w:r>
        <w:rPr>
          <w:rFonts w:eastAsia="Times New Roman"/>
          <w:szCs w:val="24"/>
        </w:rPr>
        <w:t>he offence (S1 2 K 015384 14 K);</w:t>
      </w:r>
    </w:p>
    <w:p>
      <w:pPr>
        <w:numPr>
          <w:ilvl w:val="0"/>
          <w:numId w:val="4"/>
        </w:numPr>
        <w:shd w:val="clear" w:color="auto" w:fill="FFFFFF"/>
        <w:tabs>
          <w:tab w:val="left" w:pos="450"/>
          <w:tab w:val="left" w:pos="900"/>
        </w:tabs>
        <w:spacing w:after="0" w:line="360" w:lineRule="auto"/>
        <w:ind w:firstLine="720"/>
        <w:jc w:val="both"/>
        <w:rPr>
          <w:rFonts w:eastAsia="Times New Roman"/>
          <w:szCs w:val="24"/>
        </w:rPr>
      </w:pPr>
      <w:r>
        <w:rPr>
          <w:rFonts w:eastAsia="Times New Roman"/>
          <w:szCs w:val="24"/>
        </w:rPr>
        <w:t xml:space="preserve">The sentences imposed in the criminal cases discussed confirmed that, given the length of the sentence imposed, these were serious criminal charges. Thus Z.T. as the organizer was sentenced to the maximum prison sentence of 40 years, while another member of the group was sentenced to long-term imprisonment for a term of 35 years, and the remaining defendants to prison sentences (S1 2 K 006087 14 </w:t>
      </w:r>
      <w:proofErr w:type="spellStart"/>
      <w:r>
        <w:rPr>
          <w:rFonts w:eastAsia="Times New Roman"/>
          <w:szCs w:val="24"/>
        </w:rPr>
        <w:t>Kžk</w:t>
      </w:r>
      <w:proofErr w:type="spellEnd"/>
      <w:r>
        <w:rPr>
          <w:rFonts w:eastAsia="Times New Roman"/>
          <w:szCs w:val="24"/>
        </w:rPr>
        <w:t xml:space="preserve">). In another case, a member of the group was sentenced to 20 years in prison (S1 2 K 015384 14 K), and the decision of the Appellate Panel </w:t>
      </w:r>
      <w:r>
        <w:rPr>
          <w:rFonts w:eastAsia="Times New Roman"/>
          <w:color w:val="000000" w:themeColor="text1"/>
          <w:szCs w:val="24"/>
        </w:rPr>
        <w:t xml:space="preserve">in this case can </w:t>
      </w:r>
      <w:r>
        <w:rPr>
          <w:rFonts w:eastAsia="Times New Roman"/>
          <w:szCs w:val="24"/>
        </w:rPr>
        <w:t xml:space="preserve">be </w:t>
      </w:r>
      <w:r>
        <w:rPr>
          <w:rFonts w:eastAsia="Times New Roman"/>
          <w:color w:val="000000" w:themeColor="text1"/>
          <w:szCs w:val="24"/>
        </w:rPr>
        <w:t xml:space="preserve">cited as an example of appropriateness, which upheld the appeal filed by the Prosecutor’s Office of </w:t>
      </w:r>
      <w:proofErr w:type="spellStart"/>
      <w:r>
        <w:rPr>
          <w:rFonts w:eastAsia="Times New Roman"/>
          <w:color w:val="000000" w:themeColor="text1"/>
          <w:szCs w:val="24"/>
        </w:rPr>
        <w:t>BiH</w:t>
      </w:r>
      <w:proofErr w:type="spellEnd"/>
      <w:r>
        <w:rPr>
          <w:rFonts w:eastAsia="Times New Roman"/>
          <w:color w:val="000000" w:themeColor="text1"/>
          <w:szCs w:val="24"/>
        </w:rPr>
        <w:t xml:space="preserve"> and amended the sentence </w:t>
      </w:r>
      <w:r>
        <w:rPr>
          <w:rFonts w:eastAsia="Times New Roman"/>
          <w:szCs w:val="24"/>
        </w:rPr>
        <w:t xml:space="preserve">of </w:t>
      </w:r>
      <w:r>
        <w:rPr>
          <w:rFonts w:eastAsia="Times New Roman"/>
          <w:color w:val="000000" w:themeColor="text1"/>
          <w:szCs w:val="24"/>
        </w:rPr>
        <w:t>the first-instance court</w:t>
      </w:r>
      <w:r>
        <w:rPr>
          <w:rFonts w:eastAsia="Times New Roman"/>
          <w:color w:val="FF0000"/>
          <w:szCs w:val="24"/>
        </w:rPr>
        <w:t xml:space="preserve"> </w:t>
      </w:r>
      <w:r>
        <w:rPr>
          <w:rFonts w:eastAsia="Times New Roman"/>
          <w:szCs w:val="24"/>
        </w:rPr>
        <w:t xml:space="preserve">(the prison sentence was increased from 13 to 15 years) (S1 2 K 013756 15 </w:t>
      </w:r>
      <w:proofErr w:type="spellStart"/>
      <w:r>
        <w:rPr>
          <w:rFonts w:eastAsia="Times New Roman"/>
          <w:szCs w:val="24"/>
        </w:rPr>
        <w:t>Kž</w:t>
      </w:r>
      <w:proofErr w:type="spellEnd"/>
      <w:r>
        <w:rPr>
          <w:rFonts w:eastAsia="Times New Roman"/>
          <w:szCs w:val="24"/>
        </w:rPr>
        <w:t xml:space="preserve"> 3). On the other hand, in some criminal cases, a sentence was imposed based on a plea agreement, which is particularly surprising if we take into account that the agreement was concluded with the group organizer (S1 2 K 019373 15 K; S1 2 K 019332 15 K; S1 2 K 023545 17 </w:t>
      </w:r>
      <w:proofErr w:type="spellStart"/>
      <w:r>
        <w:rPr>
          <w:rFonts w:eastAsia="Times New Roman"/>
          <w:szCs w:val="24"/>
        </w:rPr>
        <w:t>Ko</w:t>
      </w:r>
      <w:proofErr w:type="spellEnd"/>
      <w:r>
        <w:rPr>
          <w:rFonts w:eastAsia="Times New Roman"/>
          <w:szCs w:val="24"/>
        </w:rPr>
        <w:t xml:space="preserve">), which is not in line with </w:t>
      </w:r>
      <w:r>
        <w:rPr>
          <w:rFonts w:eastAsia="Times New Roman"/>
          <w:color w:val="000000" w:themeColor="text1"/>
          <w:szCs w:val="24"/>
        </w:rPr>
        <w:t xml:space="preserve">the criminal and political orientation </w:t>
      </w:r>
      <w:r>
        <w:rPr>
          <w:rFonts w:eastAsia="Times New Roman"/>
          <w:szCs w:val="24"/>
        </w:rPr>
        <w:t>regarding organized crime cases.</w:t>
      </w:r>
      <w:r>
        <w:rPr>
          <w:rFonts w:eastAsia="Times New Roman"/>
          <w:color w:val="111111"/>
          <w:szCs w:val="24"/>
          <w:shd w:val="clear" w:color="auto" w:fill="FFFFFF"/>
          <w:vertAlign w:val="superscript"/>
        </w:rPr>
        <w:footnoteReference w:id="14"/>
      </w:r>
      <w:r>
        <w:rPr>
          <w:rFonts w:eastAsia="Times New Roman"/>
          <w:szCs w:val="24"/>
        </w:rPr>
        <w:t xml:space="preserve"> An even more controversial issue is </w:t>
      </w:r>
      <w:r>
        <w:rPr>
          <w:rFonts w:eastAsia="Times New Roman"/>
          <w:color w:val="000000" w:themeColor="text1"/>
          <w:szCs w:val="24"/>
        </w:rPr>
        <w:t xml:space="preserve">the imposition of sentences in the </w:t>
      </w:r>
      <w:r>
        <w:rPr>
          <w:rFonts w:eastAsia="Times New Roman"/>
          <w:szCs w:val="24"/>
        </w:rPr>
        <w:t xml:space="preserve">cases qualified as organized crime. Thus, sentences below the statutory minimum were </w:t>
      </w:r>
      <w:r>
        <w:rPr>
          <w:rFonts w:eastAsia="Times New Roman"/>
          <w:color w:val="000000" w:themeColor="text1"/>
          <w:szCs w:val="24"/>
        </w:rPr>
        <w:t xml:space="preserve">imposed in </w:t>
      </w:r>
      <w:r>
        <w:rPr>
          <w:rFonts w:eastAsia="Times New Roman"/>
          <w:color w:val="000000" w:themeColor="text1"/>
          <w:szCs w:val="24"/>
        </w:rPr>
        <w:lastRenderedPageBreak/>
        <w:t>these cases (</w:t>
      </w:r>
      <w:r>
        <w:rPr>
          <w:rFonts w:eastAsia="Times New Roman"/>
          <w:szCs w:val="24"/>
        </w:rPr>
        <w:t xml:space="preserve">S1 2 K 019332 15 K; S1 2 K 023109 16 K; S1 2 K 023545 17 </w:t>
      </w:r>
      <w:proofErr w:type="spellStart"/>
      <w:r>
        <w:rPr>
          <w:rFonts w:eastAsia="Times New Roman"/>
          <w:szCs w:val="24"/>
        </w:rPr>
        <w:t>Ko</w:t>
      </w:r>
      <w:proofErr w:type="spellEnd"/>
      <w:r>
        <w:rPr>
          <w:rFonts w:eastAsia="Times New Roman"/>
          <w:szCs w:val="24"/>
        </w:rPr>
        <w:t>; S1 2 K 024459 17 K), including a suspended sentence (S1 2 K 021401 16 K); S1 2 K 027624 18 K; S1 2 K 025666 17 K), although the defendants had previously been convicted of the same criminal offenses.</w:t>
      </w:r>
    </w:p>
    <w:p>
      <w:pPr>
        <w:shd w:val="clear" w:color="auto" w:fill="FFFFFF"/>
        <w:spacing w:after="0" w:line="360" w:lineRule="auto"/>
        <w:ind w:left="170"/>
        <w:jc w:val="center"/>
        <w:rPr>
          <w:rFonts w:eastAsia="Times New Roman"/>
          <w:b/>
          <w:szCs w:val="24"/>
          <w:lang w:eastAsia="en-GB"/>
        </w:rPr>
      </w:pPr>
    </w:p>
    <w:p>
      <w:pPr>
        <w:shd w:val="clear" w:color="auto" w:fill="FFFFFF"/>
        <w:spacing w:after="0" w:line="360" w:lineRule="auto"/>
        <w:ind w:left="170"/>
        <w:jc w:val="center"/>
        <w:rPr>
          <w:rFonts w:eastAsia="Times New Roman"/>
          <w:b/>
          <w:szCs w:val="24"/>
          <w:lang w:eastAsia="en-GB"/>
        </w:rPr>
      </w:pPr>
      <w:r>
        <w:rPr>
          <w:rFonts w:eastAsia="Times New Roman"/>
          <w:b/>
          <w:szCs w:val="24"/>
          <w:lang w:eastAsia="en-GB"/>
        </w:rPr>
        <w:t xml:space="preserve">Discussion   </w:t>
      </w:r>
    </w:p>
    <w:p>
      <w:pPr>
        <w:spacing w:after="0" w:line="360" w:lineRule="auto"/>
        <w:ind w:left="170" w:firstLine="720"/>
        <w:jc w:val="both"/>
        <w:rPr>
          <w:szCs w:val="24"/>
        </w:rPr>
      </w:pPr>
    </w:p>
    <w:p>
      <w:pPr>
        <w:spacing w:after="0" w:line="360" w:lineRule="auto"/>
        <w:ind w:left="170" w:firstLine="720"/>
        <w:jc w:val="both"/>
        <w:rPr>
          <w:szCs w:val="24"/>
        </w:rPr>
      </w:pPr>
      <w:r>
        <w:rPr>
          <w:szCs w:val="24"/>
        </w:rPr>
        <w:t xml:space="preserve">Since the 1980s, there has been considerable debate whether and to what extent a specific group and/or its activities constitute organized crime (Hagan, 1983: 52). In this sense, it was accepted that organized crime can be defined in relation to its members or in relation to the activities of a criminal group (Mallory, 2012: 2). Although these two models of organized crime, the Mafia </w:t>
      </w:r>
      <w:r>
        <w:rPr>
          <w:color w:val="000000" w:themeColor="text1"/>
          <w:szCs w:val="24"/>
        </w:rPr>
        <w:t xml:space="preserve">Model (Paoli, 2003) and the Activity Model </w:t>
      </w:r>
      <w:r>
        <w:rPr>
          <w:szCs w:val="24"/>
        </w:rPr>
        <w:t>(van Duyne, 1997), have been maintained to this day (Paoli, 2016), the prevailing view is that the terms “criminal organization” and “criminal network”</w:t>
      </w:r>
      <w:r>
        <w:rPr>
          <w:szCs w:val="24"/>
          <w:vertAlign w:val="superscript"/>
        </w:rPr>
        <w:footnoteReference w:id="15"/>
      </w:r>
      <w:r>
        <w:rPr>
          <w:szCs w:val="24"/>
        </w:rPr>
        <w:t xml:space="preserve"> must be defined and agreed upon (von Lampe, 2002: 197). Some scholars (</w:t>
      </w:r>
      <w:proofErr w:type="spellStart"/>
      <w:r>
        <w:rPr>
          <w:szCs w:val="24"/>
        </w:rPr>
        <w:t>Finckenauer</w:t>
      </w:r>
      <w:proofErr w:type="spellEnd"/>
      <w:r>
        <w:rPr>
          <w:szCs w:val="24"/>
        </w:rPr>
        <w:t>, 2005) define special characteristics of organized crime.</w:t>
      </w:r>
      <w:r>
        <w:rPr>
          <w:szCs w:val="24"/>
          <w:lang w:val="sr-Cyrl-RS"/>
        </w:rPr>
        <w:t xml:space="preserve"> </w:t>
      </w:r>
      <w:r>
        <w:rPr>
          <w:szCs w:val="24"/>
        </w:rPr>
        <w:t>Finally, the criminal group occupies the central place in international legal documents (United Nations, 2000</w:t>
      </w:r>
      <w:r>
        <w:rPr>
          <w:szCs w:val="24"/>
          <w:lang w:val="sr-Cyrl-RS"/>
        </w:rPr>
        <w:t xml:space="preserve">; </w:t>
      </w:r>
      <w:r>
        <w:rPr>
          <w:szCs w:val="24"/>
        </w:rPr>
        <w:t xml:space="preserve">European Commission, 2008), as well as most national legislations. That is the reason we decided to consider a typical example of a criminal group which constitutes organized crime and to </w:t>
      </w:r>
      <w:r>
        <w:rPr>
          <w:color w:val="000000" w:themeColor="text1"/>
          <w:szCs w:val="24"/>
        </w:rPr>
        <w:t>determine the differences from those criminal activities that are not organized crime.</w:t>
      </w:r>
    </w:p>
    <w:p>
      <w:pPr>
        <w:spacing w:after="0" w:line="360" w:lineRule="auto"/>
        <w:ind w:left="170" w:firstLine="550"/>
        <w:jc w:val="both"/>
        <w:rPr>
          <w:szCs w:val="24"/>
        </w:rPr>
      </w:pPr>
      <w:r>
        <w:rPr>
          <w:szCs w:val="24"/>
        </w:rPr>
        <w:t xml:space="preserve">Based on the research conducted, two key conclusions were reached. First, it is evident that there are reliable criteria based on which it is possible </w:t>
      </w:r>
      <w:r>
        <w:rPr>
          <w:color w:val="000000" w:themeColor="text1"/>
          <w:szCs w:val="24"/>
        </w:rPr>
        <w:t xml:space="preserve">to determine that a certain group is an organized </w:t>
      </w:r>
      <w:r>
        <w:rPr>
          <w:szCs w:val="24"/>
        </w:rPr>
        <w:t xml:space="preserve">criminal group. These criteria include the number of members, the continuity of membership, joint action, clear group structure, the existence of the division of tasks and defined roles among its members, the type and number of offenses committed, influence on citizens, and the type and length of sentences imposed. If these elements can be proven in a specific criminal </w:t>
      </w:r>
      <w:r>
        <w:rPr>
          <w:color w:val="000000" w:themeColor="text1"/>
          <w:szCs w:val="24"/>
        </w:rPr>
        <w:t>activity, then an organized criminal group exists.</w:t>
      </w:r>
    </w:p>
    <w:p>
      <w:pPr>
        <w:spacing w:after="0" w:line="360" w:lineRule="auto"/>
        <w:ind w:left="170" w:firstLine="550"/>
        <w:jc w:val="both"/>
        <w:rPr>
          <w:szCs w:val="24"/>
        </w:rPr>
      </w:pPr>
      <w:r>
        <w:rPr>
          <w:szCs w:val="24"/>
        </w:rPr>
        <w:lastRenderedPageBreak/>
        <w:t xml:space="preserve">Secondly, although the existence of the mentioned elements was found in other studied cases, it cannot be claimed with certainty that an organized criminal group exists or an organized crime offence. Specifically, </w:t>
      </w:r>
      <w:r>
        <w:rPr>
          <w:color w:val="000000" w:themeColor="text1"/>
          <w:szCs w:val="24"/>
        </w:rPr>
        <w:t xml:space="preserve">the fact that three or more persons jointly perpetrated a criminal offence is not sufficient – a higher </w:t>
      </w:r>
      <w:r>
        <w:rPr>
          <w:szCs w:val="24"/>
        </w:rPr>
        <w:t xml:space="preserve">level of their mutual connection is required. Likewise, the type and number of crimes committed clearly indicates the difference between </w:t>
      </w:r>
      <w:r>
        <w:rPr>
          <w:color w:val="000000" w:themeColor="text1"/>
          <w:szCs w:val="24"/>
        </w:rPr>
        <w:t>the levels of criminal organization</w:t>
      </w:r>
      <w:r>
        <w:rPr>
          <w:szCs w:val="24"/>
        </w:rPr>
        <w:t xml:space="preserve">. Thus, an organized criminal group will </w:t>
      </w:r>
      <w:r>
        <w:rPr>
          <w:color w:val="000000" w:themeColor="text1"/>
          <w:szCs w:val="24"/>
        </w:rPr>
        <w:t xml:space="preserve">have a tendency to operate for a long period of time and continuously perpetrate </w:t>
      </w:r>
      <w:r>
        <w:rPr>
          <w:szCs w:val="24"/>
        </w:rPr>
        <w:t>criminal offences; however, an organized group may be formed for the purpose of perpetrating one criminal offense (</w:t>
      </w:r>
      <w:r>
        <w:rPr>
          <w:color w:val="000000" w:themeColor="text1"/>
          <w:szCs w:val="24"/>
        </w:rPr>
        <w:t>or possibly an extended criminal offense).</w:t>
      </w:r>
    </w:p>
    <w:p>
      <w:pPr>
        <w:spacing w:after="0" w:line="360" w:lineRule="auto"/>
        <w:ind w:left="170" w:firstLine="550"/>
        <w:jc w:val="both"/>
        <w:rPr>
          <w:szCs w:val="24"/>
        </w:rPr>
      </w:pPr>
      <w:r>
        <w:rPr>
          <w:szCs w:val="24"/>
        </w:rPr>
        <w:t xml:space="preserve">An important difference between an organized criminal group and an organized group, </w:t>
      </w:r>
      <w:r>
        <w:rPr>
          <w:color w:val="000000" w:themeColor="text1"/>
          <w:szCs w:val="24"/>
        </w:rPr>
        <w:t>according to the derived criteria</w:t>
      </w:r>
      <w:r>
        <w:rPr>
          <w:szCs w:val="24"/>
        </w:rPr>
        <w:t xml:space="preserve">, lies in the type and length of sentence. Although the most severe penalties are prescribed for organized crime offenses which are, as a rule, usually imposed (as confirmed in the court cases analyzed), milder sentences, even suspended sentences were imposed in other cases. The question </w:t>
      </w:r>
      <w:r>
        <w:rPr>
          <w:color w:val="000000" w:themeColor="text1"/>
          <w:szCs w:val="24"/>
        </w:rPr>
        <w:t xml:space="preserve">arises as to how it is possible to charge a person with an </w:t>
      </w:r>
      <w:r>
        <w:rPr>
          <w:szCs w:val="24"/>
        </w:rPr>
        <w:t>organized crime</w:t>
      </w:r>
      <w:r>
        <w:rPr>
          <w:color w:val="FF0000"/>
          <w:szCs w:val="24"/>
        </w:rPr>
        <w:t xml:space="preserve"> </w:t>
      </w:r>
      <w:r>
        <w:rPr>
          <w:color w:val="000000" w:themeColor="text1"/>
          <w:szCs w:val="24"/>
        </w:rPr>
        <w:t>offense</w:t>
      </w:r>
      <w:r>
        <w:rPr>
          <w:szCs w:val="24"/>
        </w:rPr>
        <w:t xml:space="preserve"> and subsequently sentence him/her to a suspended sentence. Clearly, in </w:t>
      </w:r>
      <w:r>
        <w:rPr>
          <w:color w:val="000000" w:themeColor="text1"/>
          <w:szCs w:val="24"/>
        </w:rPr>
        <w:t>such cases, the offenses were not regarded as organized crime offenses</w:t>
      </w:r>
      <w:r>
        <w:rPr>
          <w:szCs w:val="24"/>
        </w:rPr>
        <w:t xml:space="preserve">. Also, the filing of charges for crimes which cannot be regarded as “typical” organized crime offenses was evident. This example relates to the criminal offenses of document forgery and false certification. It seems illogical to organize an organized criminal group in order to commit these offenses. We do not have a proper answer to this question, except that it </w:t>
      </w:r>
      <w:r>
        <w:rPr>
          <w:color w:val="000000" w:themeColor="text1"/>
          <w:szCs w:val="24"/>
        </w:rPr>
        <w:t>is an irrational organized crime charge</w:t>
      </w:r>
      <w:r>
        <w:rPr>
          <w:szCs w:val="24"/>
        </w:rPr>
        <w:t xml:space="preserve">. Such judicial practice is not the best choice, </w:t>
      </w:r>
      <w:r>
        <w:rPr>
          <w:color w:val="000000" w:themeColor="text1"/>
          <w:szCs w:val="24"/>
        </w:rPr>
        <w:t xml:space="preserve">because it “blunts” the edge of the criminal </w:t>
      </w:r>
      <w:r>
        <w:rPr>
          <w:szCs w:val="24"/>
        </w:rPr>
        <w:t>justice in these cases.</w:t>
      </w:r>
    </w:p>
    <w:p>
      <w:pPr>
        <w:spacing w:after="0" w:line="360" w:lineRule="auto"/>
        <w:ind w:left="170" w:firstLine="720"/>
        <w:jc w:val="both"/>
        <w:rPr>
          <w:szCs w:val="24"/>
        </w:rPr>
      </w:pPr>
      <w:r>
        <w:rPr>
          <w:szCs w:val="24"/>
        </w:rPr>
        <w:t>It is very important to stablishing clear criteria and make a distinction between these two concepts, although this is not entirely precisely determined by the current judicial practice. Today, it is considered that understanding and presenting the essential elements of organized crime leads to a successful criminal investigation (Mallory, 2012: 11). Specifically, a systematic investigation into activities in the fight against organized crime indicates that we need to have a better understanding of it, which means understanding its key characteristics today, especially its transnational dimension, and describing its specific local characteristics (Longo, 2010).</w:t>
      </w:r>
    </w:p>
    <w:p>
      <w:pPr>
        <w:spacing w:after="0" w:line="360" w:lineRule="auto"/>
        <w:ind w:left="170" w:firstLine="720"/>
        <w:jc w:val="both"/>
        <w:rPr>
          <w:szCs w:val="24"/>
        </w:rPr>
      </w:pPr>
      <w:r>
        <w:rPr>
          <w:szCs w:val="24"/>
        </w:rPr>
        <w:t xml:space="preserve">The findings of this research confirm that in the observed period (2015-2018) the number of organized criminal groups in </w:t>
      </w:r>
      <w:proofErr w:type="spellStart"/>
      <w:r>
        <w:rPr>
          <w:szCs w:val="24"/>
        </w:rPr>
        <w:t>BiH</w:t>
      </w:r>
      <w:proofErr w:type="spellEnd"/>
      <w:r>
        <w:rPr>
          <w:szCs w:val="24"/>
        </w:rPr>
        <w:t xml:space="preserve"> was minor in relation to the total number of the cases processed. In other words, it is possible that organized crime processed in courts significantly differs from actual organized crime in </w:t>
      </w:r>
      <w:proofErr w:type="spellStart"/>
      <w:r>
        <w:rPr>
          <w:szCs w:val="24"/>
        </w:rPr>
        <w:t>BiH</w:t>
      </w:r>
      <w:proofErr w:type="spellEnd"/>
      <w:r>
        <w:rPr>
          <w:szCs w:val="24"/>
        </w:rPr>
        <w:t xml:space="preserve"> (</w:t>
      </w:r>
      <w:proofErr w:type="spellStart"/>
      <w:r>
        <w:rPr>
          <w:szCs w:val="24"/>
        </w:rPr>
        <w:t>Maljević</w:t>
      </w:r>
      <w:proofErr w:type="spellEnd"/>
      <w:r>
        <w:rPr>
          <w:szCs w:val="24"/>
        </w:rPr>
        <w:t xml:space="preserve">, 2020). This conclusion is </w:t>
      </w:r>
      <w:r>
        <w:rPr>
          <w:szCs w:val="24"/>
        </w:rPr>
        <w:lastRenderedPageBreak/>
        <w:t>significant not only because it points to inconsistencies in the application of criminal law, but it also has broader implications. In the literature (</w:t>
      </w:r>
      <w:proofErr w:type="spellStart"/>
      <w:r>
        <w:rPr>
          <w:szCs w:val="24"/>
        </w:rPr>
        <w:t>Dobovšek</w:t>
      </w:r>
      <w:proofErr w:type="spellEnd"/>
      <w:r>
        <w:rPr>
          <w:szCs w:val="24"/>
        </w:rPr>
        <w:t xml:space="preserve">, 2006; </w:t>
      </w:r>
      <w:proofErr w:type="spellStart"/>
      <w:r>
        <w:rPr>
          <w:szCs w:val="24"/>
        </w:rPr>
        <w:t>Muehlmann</w:t>
      </w:r>
      <w:proofErr w:type="spellEnd"/>
      <w:r>
        <w:rPr>
          <w:szCs w:val="24"/>
        </w:rPr>
        <w:t xml:space="preserve">, 2008) and public discourse (MB </w:t>
      </w:r>
      <w:proofErr w:type="spellStart"/>
      <w:r>
        <w:rPr>
          <w:szCs w:val="24"/>
        </w:rPr>
        <w:t>BiH</w:t>
      </w:r>
      <w:proofErr w:type="spellEnd"/>
      <w:r>
        <w:rPr>
          <w:szCs w:val="24"/>
        </w:rPr>
        <w:t xml:space="preserve">, 2018), the prevailing opinion is that organized crime is a widespread phenomenon in </w:t>
      </w:r>
      <w:proofErr w:type="spellStart"/>
      <w:r>
        <w:rPr>
          <w:szCs w:val="24"/>
        </w:rPr>
        <w:t>BiH</w:t>
      </w:r>
      <w:proofErr w:type="spellEnd"/>
      <w:r>
        <w:rPr>
          <w:szCs w:val="24"/>
        </w:rPr>
        <w:t xml:space="preserve">. Such views are not based on empirical verification. In this regard, further research is necessary, on the basis of which practical policy would assess the situation and design policies to reduce crime, including organized crime. </w:t>
      </w:r>
    </w:p>
    <w:p>
      <w:pPr>
        <w:spacing w:after="0" w:line="360" w:lineRule="auto"/>
        <w:ind w:left="170" w:firstLine="720"/>
        <w:jc w:val="both"/>
        <w:rPr>
          <w:rFonts w:eastAsia="Times New Roman"/>
          <w:b/>
          <w:szCs w:val="24"/>
          <w:lang w:eastAsia="en-GB"/>
        </w:rPr>
      </w:pPr>
    </w:p>
    <w:p>
      <w:pPr>
        <w:shd w:val="clear" w:color="auto" w:fill="FFFFFF"/>
        <w:spacing w:after="0" w:line="360" w:lineRule="auto"/>
        <w:ind w:left="170"/>
        <w:jc w:val="center"/>
        <w:rPr>
          <w:rFonts w:eastAsia="Times New Roman"/>
          <w:b/>
          <w:szCs w:val="24"/>
          <w:lang w:eastAsia="en-GB"/>
        </w:rPr>
      </w:pPr>
      <w:r>
        <w:rPr>
          <w:rFonts w:eastAsia="Times New Roman"/>
          <w:b/>
          <w:szCs w:val="24"/>
          <w:lang w:eastAsia="en-GB"/>
        </w:rPr>
        <w:t>References</w:t>
      </w:r>
    </w:p>
    <w:p>
      <w:pPr>
        <w:shd w:val="clear" w:color="auto" w:fill="FFFFFF"/>
        <w:spacing w:after="0" w:line="360" w:lineRule="auto"/>
        <w:ind w:left="170"/>
        <w:jc w:val="center"/>
        <w:rPr>
          <w:rFonts w:eastAsia="Times New Roman"/>
          <w:b/>
          <w:szCs w:val="24"/>
          <w:lang w:eastAsia="en-GB"/>
        </w:rPr>
      </w:pP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hAnsi="Times New Roman" w:cs="Times New Roman"/>
          <w:sz w:val="24"/>
          <w:szCs w:val="24"/>
          <w:lang w:val="sr-Latn-BA"/>
        </w:rPr>
        <w:t xml:space="preserve">Amerhauzer, K., &amp; Kemp, V. (2021). </w:t>
      </w:r>
      <w:r>
        <w:rPr>
          <w:rFonts w:ascii="Times New Roman" w:hAnsi="Times New Roman" w:cs="Times New Roman"/>
          <w:i/>
          <w:sz w:val="24"/>
          <w:szCs w:val="24"/>
          <w:lang w:val="sr-Latn-BA"/>
        </w:rPr>
        <w:t xml:space="preserve">Snažnije zajedno: Jačanje otpornosti civilnog društva na Zapadnom Balkanu </w:t>
      </w:r>
      <w:r>
        <w:rPr>
          <w:rFonts w:ascii="Times New Roman" w:hAnsi="Times New Roman" w:cs="Times New Roman"/>
          <w:sz w:val="24"/>
          <w:szCs w:val="24"/>
          <w:lang w:val="sr-Latn-RS"/>
        </w:rPr>
        <w:t>[</w:t>
      </w:r>
      <w:r>
        <w:rPr>
          <w:rFonts w:ascii="Times New Roman" w:hAnsi="Times New Roman" w:cs="Times New Roman"/>
          <w:i/>
          <w:sz w:val="24"/>
          <w:szCs w:val="24"/>
          <w:lang w:val="sr-Latn-BA"/>
        </w:rPr>
        <w:t>Stronger Together: Strengthening the Resilience of Civil Society in the Western Balkans</w:t>
      </w:r>
      <w:r>
        <w:rPr>
          <w:rFonts w:ascii="Times New Roman" w:hAnsi="Times New Roman" w:cs="Times New Roman"/>
          <w:sz w:val="24"/>
          <w:szCs w:val="24"/>
          <w:lang w:val="sr-Latn-RS"/>
        </w:rPr>
        <w:t>]</w:t>
      </w:r>
      <w:r>
        <w:rPr>
          <w:rFonts w:ascii="Times New Roman" w:hAnsi="Times New Roman" w:cs="Times New Roman"/>
          <w:i/>
          <w:sz w:val="24"/>
          <w:szCs w:val="24"/>
          <w:lang w:val="sr-Latn-BA"/>
        </w:rPr>
        <w:t xml:space="preserve">. </w:t>
      </w:r>
      <w:r>
        <w:rPr>
          <w:rFonts w:ascii="Times New Roman" w:hAnsi="Times New Roman" w:cs="Times New Roman"/>
          <w:sz w:val="24"/>
          <w:szCs w:val="24"/>
        </w:rPr>
        <w:t xml:space="preserve">Geneva: Global Initiative Against Transnational Organized Crime. </w:t>
      </w:r>
    </w:p>
    <w:p>
      <w:pPr>
        <w:pStyle w:val="ListParagraph"/>
        <w:numPr>
          <w:ilvl w:val="0"/>
          <w:numId w:val="2"/>
        </w:numPr>
        <w:spacing w:after="160" w:line="259"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Andreas, P. (2004). Criminalized legacies of war: the clandestine political economy of the Western Balkans. </w:t>
      </w:r>
      <w:r>
        <w:rPr>
          <w:rFonts w:ascii="Times New Roman" w:hAnsi="Times New Roman" w:cs="Times New Roman"/>
          <w:i/>
          <w:iCs/>
          <w:color w:val="222222"/>
          <w:sz w:val="24"/>
          <w:szCs w:val="24"/>
          <w:shd w:val="clear" w:color="auto" w:fill="FFFFFF"/>
        </w:rPr>
        <w:t>Problems of Post-Communism,</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51</w:t>
      </w:r>
      <w:r>
        <w:rPr>
          <w:rFonts w:ascii="Times New Roman" w:hAnsi="Times New Roman" w:cs="Times New Roman"/>
          <w:color w:val="222222"/>
          <w:sz w:val="24"/>
          <w:szCs w:val="24"/>
          <w:shd w:val="clear" w:color="auto" w:fill="FFFFFF"/>
        </w:rPr>
        <w:t>(3), 3</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9.</w:t>
      </w:r>
    </w:p>
    <w:p>
      <w:pPr>
        <w:pStyle w:val="ListParagraph"/>
        <w:numPr>
          <w:ilvl w:val="0"/>
          <w:numId w:val="2"/>
        </w:numPr>
        <w:spacing w:after="160" w:line="259"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Andreas, P. (2005). Criminalizing Consequences of Sanctions: Embargo Busting and Its Legacy. International Studies Quarterly, 49, 33–360.</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eastAsia="Times New Roman" w:hAnsi="Times New Roman" w:cs="Times New Roman"/>
          <w:sz w:val="24"/>
          <w:szCs w:val="24"/>
          <w:lang w:val="sr-Latn-BA" w:eastAsia="en-GB"/>
        </w:rPr>
        <w:t xml:space="preserve">Brady, S. (2012). </w:t>
      </w:r>
      <w:r>
        <w:rPr>
          <w:rFonts w:ascii="Times New Roman" w:eastAsia="Times New Roman" w:hAnsi="Times New Roman" w:cs="Times New Roman"/>
          <w:i/>
          <w:sz w:val="24"/>
          <w:szCs w:val="24"/>
          <w:lang w:val="sr-Latn-BA" w:eastAsia="en-GB"/>
        </w:rPr>
        <w:t xml:space="preserve">Organizovani kriminal u Bosni i Hercegovini – tih rat koji iz zasjede vode bezubi tigrovi ili rat koji još nije vođen </w:t>
      </w:r>
      <w:r>
        <w:rPr>
          <w:rFonts w:ascii="Times New Roman" w:hAnsi="Times New Roman" w:cs="Times New Roman"/>
          <w:sz w:val="24"/>
          <w:szCs w:val="24"/>
          <w:lang w:val="sr-Latn-RS"/>
        </w:rPr>
        <w:t>[Or</w:t>
      </w:r>
      <w:r>
        <w:rPr>
          <w:rFonts w:ascii="Times New Roman" w:eastAsia="Times New Roman" w:hAnsi="Times New Roman" w:cs="Times New Roman"/>
          <w:i/>
          <w:sz w:val="24"/>
          <w:szCs w:val="24"/>
          <w:lang w:val="sr-Latn-BA" w:eastAsia="en-GB"/>
        </w:rPr>
        <w:t>ganized crime in Bosnia and Herzegovina – a silent war fought in the ambush by toothless tigers or a war not yet waged</w:t>
      </w:r>
      <w:r>
        <w:rPr>
          <w:rFonts w:ascii="Times New Roman" w:hAnsi="Times New Roman" w:cs="Times New Roman"/>
          <w:sz w:val="24"/>
          <w:szCs w:val="24"/>
          <w:lang w:val="sr-Latn-RS"/>
        </w:rPr>
        <w:t>]</w:t>
      </w:r>
      <w:r>
        <w:rPr>
          <w:rFonts w:ascii="Times New Roman" w:eastAsia="Times New Roman" w:hAnsi="Times New Roman" w:cs="Times New Roman"/>
          <w:sz w:val="24"/>
          <w:szCs w:val="24"/>
          <w:lang w:val="sr-Latn-BA" w:eastAsia="en-GB"/>
        </w:rPr>
        <w:t xml:space="preserve">. Sarajevo. </w:t>
      </w:r>
      <w:r>
        <w:rPr>
          <w:rFonts w:ascii="Times New Roman" w:hAnsi="Times New Roman" w:cs="Times New Roman"/>
          <w:sz w:val="24"/>
          <w:szCs w:val="24"/>
        </w:rPr>
        <w:t xml:space="preserve">Retrieved from </w:t>
      </w:r>
      <w:hyperlink r:id="rId8" w:history="1">
        <w:r>
          <w:rPr>
            <w:rStyle w:val="Hyperlink"/>
            <w:rFonts w:ascii="Times New Roman" w:eastAsia="Times New Roman" w:hAnsi="Times New Roman" w:cs="Times New Roman"/>
            <w:sz w:val="24"/>
            <w:szCs w:val="24"/>
            <w:lang w:val="sr-Latn-BA" w:eastAsia="en-GB"/>
          </w:rPr>
          <w:t>https://sarconint.com/wp-content/uploads/2015/03/OK-u-BiH-BHS-verzija.p</w:t>
        </w:r>
        <w:r>
          <w:rPr>
            <w:rStyle w:val="Hyperlink"/>
            <w:rFonts w:ascii="Times New Roman" w:eastAsia="Times New Roman" w:hAnsi="Times New Roman" w:cs="Times New Roman"/>
            <w:sz w:val="24"/>
            <w:szCs w:val="24"/>
            <w:lang w:val="sr-Latn-BA" w:eastAsia="en-GB"/>
          </w:rPr>
          <w:t>d</w:t>
        </w:r>
        <w:r>
          <w:rPr>
            <w:rStyle w:val="Hyperlink"/>
            <w:rFonts w:ascii="Times New Roman" w:eastAsia="Times New Roman" w:hAnsi="Times New Roman" w:cs="Times New Roman"/>
            <w:sz w:val="24"/>
            <w:szCs w:val="24"/>
            <w:lang w:val="sr-Latn-BA" w:eastAsia="en-GB"/>
          </w:rPr>
          <w:t>f</w:t>
        </w:r>
      </w:hyperlink>
    </w:p>
    <w:p>
      <w:pPr>
        <w:pStyle w:val="FootnoteText"/>
        <w:numPr>
          <w:ilvl w:val="0"/>
          <w:numId w:val="2"/>
        </w:numPr>
        <w:rPr>
          <w:rFonts w:ascii="Times New Roman" w:hAnsi="Times New Roman" w:cs="Times New Roman"/>
          <w:sz w:val="24"/>
          <w:szCs w:val="24"/>
          <w:lang w:val="sr-Latn-RS"/>
        </w:rPr>
      </w:pP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sigurnosne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studije</w:t>
      </w:r>
      <w:proofErr w:type="spellEnd"/>
      <w:r>
        <w:rPr>
          <w:rFonts w:ascii="Times New Roman" w:hAnsi="Times New Roman" w:cs="Times New Roman"/>
          <w:sz w:val="24"/>
          <w:szCs w:val="24"/>
        </w:rPr>
        <w:t xml:space="preserve">. (2014). </w:t>
      </w:r>
      <w:proofErr w:type="spellStart"/>
      <w:r>
        <w:rPr>
          <w:rFonts w:ascii="Times New Roman" w:hAnsi="Times New Roman" w:cs="Times New Roman"/>
          <w:i/>
          <w:sz w:val="24"/>
          <w:szCs w:val="24"/>
        </w:rPr>
        <w:t>Studija</w:t>
      </w:r>
      <w:proofErr w:type="spellEnd"/>
      <w:r>
        <w:rPr>
          <w:rFonts w:ascii="Times New Roman" w:hAnsi="Times New Roman" w:cs="Times New Roman"/>
          <w:i/>
          <w:sz w:val="24"/>
          <w:szCs w:val="24"/>
        </w:rPr>
        <w:t xml:space="preserve"> o </w:t>
      </w:r>
      <w:proofErr w:type="spellStart"/>
      <w:r>
        <w:rPr>
          <w:rFonts w:ascii="Times New Roman" w:hAnsi="Times New Roman" w:cs="Times New Roman"/>
          <w:i/>
          <w:sz w:val="24"/>
          <w:szCs w:val="24"/>
        </w:rPr>
        <w:t>organizovanom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kriminalu</w:t>
      </w:r>
      <w:proofErr w:type="spellEnd"/>
      <w:r>
        <w:rPr>
          <w:rFonts w:ascii="Times New Roman" w:hAnsi="Times New Roman" w:cs="Times New Roman"/>
          <w:i/>
          <w:sz w:val="24"/>
          <w:szCs w:val="24"/>
        </w:rPr>
        <w:t xml:space="preserve"> u </w:t>
      </w:r>
      <w:proofErr w:type="spellStart"/>
      <w:r>
        <w:rPr>
          <w:rFonts w:ascii="Times New Roman" w:hAnsi="Times New Roman" w:cs="Times New Roman"/>
          <w:i/>
          <w:sz w:val="24"/>
          <w:szCs w:val="24"/>
        </w:rPr>
        <w:t>Bosni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Hercegovini</w:t>
      </w:r>
      <w:proofErr w:type="spellEnd"/>
      <w:r>
        <w:rPr>
          <w:rFonts w:ascii="Times New Roman" w:hAnsi="Times New Roman" w:cs="Times New Roman"/>
          <w:sz w:val="24"/>
          <w:szCs w:val="24"/>
        </w:rPr>
        <w:t xml:space="preserve"> </w:t>
      </w:r>
      <w:r>
        <w:rPr>
          <w:rFonts w:ascii="Times New Roman" w:hAnsi="Times New Roman" w:cs="Times New Roman"/>
          <w:sz w:val="24"/>
          <w:szCs w:val="24"/>
          <w:lang w:val="sr-Latn-RS"/>
        </w:rPr>
        <w:t xml:space="preserve">[Study on Organized Crime in Bosnia and Herzegovina]. </w:t>
      </w:r>
      <w:r>
        <w:rPr>
          <w:rFonts w:ascii="Times New Roman" w:hAnsi="Times New Roman" w:cs="Times New Roman"/>
          <w:sz w:val="24"/>
          <w:szCs w:val="24"/>
        </w:rPr>
        <w:t xml:space="preserve">Sarajevo: </w:t>
      </w: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sigurnosne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studije</w:t>
      </w:r>
      <w:proofErr w:type="spellEnd"/>
      <w:r>
        <w:rPr>
          <w:rFonts w:ascii="Times New Roman" w:hAnsi="Times New Roman" w:cs="Times New Roman"/>
          <w:sz w:val="24"/>
          <w:szCs w:val="24"/>
        </w:rPr>
        <w:t xml:space="preserve">. </w:t>
      </w:r>
    </w:p>
    <w:p>
      <w:pPr>
        <w:pStyle w:val="FootnoteText"/>
        <w:numPr>
          <w:ilvl w:val="0"/>
          <w:numId w:val="2"/>
        </w:numPr>
        <w:rPr>
          <w:rFonts w:ascii="Times New Roman" w:hAnsi="Times New Roman" w:cs="Times New Roman"/>
          <w:sz w:val="24"/>
          <w:szCs w:val="24"/>
          <w:lang w:val="sr-Latn-RS"/>
        </w:rPr>
      </w:pPr>
      <w:r>
        <w:rPr>
          <w:rFonts w:ascii="Times New Roman" w:hAnsi="Times New Roman" w:cs="Times New Roman"/>
          <w:sz w:val="24"/>
          <w:szCs w:val="24"/>
          <w:lang w:val="sr-Latn-RS"/>
        </w:rPr>
        <w:t xml:space="preserve">Dobovšek, B. (2006). Transnational organised crime in the Western Balkans. In </w:t>
      </w:r>
      <w:r>
        <w:rPr>
          <w:rFonts w:ascii="Times New Roman" w:hAnsi="Times New Roman" w:cs="Times New Roman"/>
          <w:i/>
          <w:sz w:val="24"/>
          <w:szCs w:val="24"/>
          <w:lang w:val="sr-Latn-RS"/>
        </w:rPr>
        <w:t>First Annual Conference on Human Security, Terrorism and Organized Crime in the Western Balkan Region</w:t>
      </w:r>
      <w:r>
        <w:rPr>
          <w:rFonts w:ascii="Times New Roman" w:hAnsi="Times New Roman" w:cs="Times New Roman"/>
          <w:sz w:val="24"/>
          <w:szCs w:val="24"/>
          <w:lang w:val="sr-Latn-RS"/>
        </w:rPr>
        <w:t xml:space="preserve">, organized by the HUMSEC project in Ljubljana, 23-25 November 2006. </w:t>
      </w:r>
      <w:r>
        <w:rPr>
          <w:rFonts w:ascii="Times New Roman" w:hAnsi="Times New Roman" w:cs="Times New Roman"/>
          <w:sz w:val="24"/>
          <w:szCs w:val="24"/>
        </w:rPr>
        <w:t xml:space="preserve">Retrieved from </w:t>
      </w:r>
      <w:r>
        <w:rPr>
          <w:rFonts w:ascii="Times New Roman" w:hAnsi="Times New Roman" w:cs="Times New Roman"/>
          <w:sz w:val="24"/>
          <w:szCs w:val="24"/>
          <w:lang w:val="sr-Latn-RS"/>
        </w:rPr>
        <w:t>https://www.files.ethz.ch/isn/102341/2_Dobovsek.pdf</w:t>
      </w:r>
    </w:p>
    <w:p>
      <w:pPr>
        <w:pStyle w:val="FootnoteText"/>
        <w:numPr>
          <w:ilvl w:val="0"/>
          <w:numId w:val="2"/>
        </w:numPr>
        <w:rPr>
          <w:rFonts w:ascii="Times New Roman" w:hAnsi="Times New Roman" w:cs="Times New Roman"/>
          <w:sz w:val="24"/>
          <w:szCs w:val="24"/>
          <w:lang w:val="sr-Latn-RS"/>
        </w:rPr>
      </w:pPr>
      <w:r>
        <w:rPr>
          <w:rFonts w:ascii="Times New Roman" w:hAnsi="Times New Roman" w:cs="Times New Roman"/>
          <w:color w:val="000000"/>
          <w:sz w:val="24"/>
          <w:szCs w:val="24"/>
          <w:shd w:val="clear" w:color="auto" w:fill="FFFFFF"/>
        </w:rPr>
        <w:t>European Commission. (20</w:t>
      </w:r>
      <w:r>
        <w:rPr>
          <w:color w:val="000000"/>
          <w:sz w:val="24"/>
          <w:szCs w:val="24"/>
          <w:shd w:val="clear" w:color="auto" w:fill="FFFFFF"/>
        </w:rPr>
        <w:t>0</w:t>
      </w:r>
      <w:r>
        <w:rPr>
          <w:rFonts w:ascii="Times New Roman" w:hAnsi="Times New Roman" w:cs="Times New Roman"/>
          <w:color w:val="000000"/>
          <w:sz w:val="24"/>
          <w:szCs w:val="24"/>
          <w:shd w:val="clear" w:color="auto" w:fill="FFFFFF"/>
        </w:rPr>
        <w:t>8).</w:t>
      </w:r>
      <w:r>
        <w:rPr>
          <w:rFonts w:ascii="Times New Roman" w:hAnsi="Times New Roman" w:cs="Times New Roman"/>
          <w:bCs/>
          <w:color w:val="000000"/>
          <w:sz w:val="24"/>
          <w:szCs w:val="24"/>
        </w:rPr>
        <w:t xml:space="preserve"> Report from the Commission to the European Parliament and the Council based on Article 10 of Council Framework Decision 2008/841/JHA of 24 October 2008 on the fight against </w:t>
      </w:r>
      <w:proofErr w:type="spellStart"/>
      <w:r>
        <w:rPr>
          <w:rFonts w:ascii="Times New Roman" w:hAnsi="Times New Roman" w:cs="Times New Roman"/>
          <w:bCs/>
          <w:color w:val="000000"/>
          <w:sz w:val="24"/>
          <w:szCs w:val="24"/>
        </w:rPr>
        <w:t>organised</w:t>
      </w:r>
      <w:proofErr w:type="spellEnd"/>
      <w:r>
        <w:rPr>
          <w:rFonts w:ascii="Times New Roman" w:hAnsi="Times New Roman" w:cs="Times New Roman"/>
          <w:bCs/>
          <w:color w:val="000000"/>
          <w:sz w:val="24"/>
          <w:szCs w:val="24"/>
        </w:rPr>
        <w:t xml:space="preserve"> crime.</w:t>
      </w:r>
      <w:r>
        <w:rPr>
          <w:rFonts w:ascii="Times New Roman" w:hAnsi="Times New Roman" w:cs="Times New Roman"/>
          <w:sz w:val="24"/>
          <w:szCs w:val="24"/>
        </w:rPr>
        <w:t xml:space="preserve"> Retrieved from </w:t>
      </w:r>
      <w:hyperlink r:id="rId9" w:history="1">
        <w:r>
          <w:rPr>
            <w:rStyle w:val="Hyperlink"/>
            <w:rFonts w:ascii="Times New Roman" w:hAnsi="Times New Roman" w:cs="Times New Roman"/>
            <w:bCs/>
            <w:sz w:val="24"/>
            <w:szCs w:val="24"/>
          </w:rPr>
          <w:t>https://eur-lex.europa.eu/legal-content/EN/TXT/HTML/?uri=CELEX:52016DC0448&amp;from=en</w:t>
        </w:r>
      </w:hyperlink>
      <w:r>
        <w:rPr>
          <w:rFonts w:ascii="Times New Roman" w:hAnsi="Times New Roman" w:cs="Times New Roman"/>
          <w:bCs/>
          <w:color w:val="000000"/>
          <w:sz w:val="24"/>
          <w:szCs w:val="24"/>
          <w:lang w:val="sr-Cyrl-RS"/>
        </w:rPr>
        <w:t xml:space="preserve"> </w:t>
      </w:r>
    </w:p>
    <w:p>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shd w:val="clear" w:color="auto" w:fill="FFFFFF"/>
        </w:rPr>
        <w:t xml:space="preserve">van </w:t>
      </w:r>
      <w:proofErr w:type="gramStart"/>
      <w:r>
        <w:rPr>
          <w:rFonts w:ascii="Times New Roman" w:hAnsi="Times New Roman" w:cs="Times New Roman"/>
          <w:sz w:val="24"/>
          <w:szCs w:val="24"/>
          <w:shd w:val="clear" w:color="auto" w:fill="FFFFFF"/>
        </w:rPr>
        <w:t>Duyne,  P.</w:t>
      </w:r>
      <w:proofErr w:type="gramEnd"/>
      <w:r>
        <w:rPr>
          <w:rFonts w:ascii="Times New Roman" w:hAnsi="Times New Roman" w:cs="Times New Roman"/>
          <w:sz w:val="24"/>
          <w:szCs w:val="24"/>
          <w:shd w:val="clear" w:color="auto" w:fill="FFFFFF"/>
        </w:rPr>
        <w:t xml:space="preserve"> (1997). Organized Crime, Corruption, and Power. </w:t>
      </w:r>
      <w:r>
        <w:rPr>
          <w:rFonts w:ascii="Times New Roman" w:hAnsi="Times New Roman" w:cs="Times New Roman"/>
          <w:i/>
          <w:sz w:val="24"/>
          <w:szCs w:val="24"/>
          <w:shd w:val="clear" w:color="auto" w:fill="FFFFFF"/>
        </w:rPr>
        <w:t xml:space="preserve">Crime, Law, </w:t>
      </w:r>
      <w:proofErr w:type="gramStart"/>
      <w:r>
        <w:rPr>
          <w:rFonts w:ascii="Times New Roman" w:hAnsi="Times New Roman" w:cs="Times New Roman"/>
          <w:i/>
          <w:sz w:val="24"/>
          <w:szCs w:val="24"/>
          <w:shd w:val="clear" w:color="auto" w:fill="FFFFFF"/>
        </w:rPr>
        <w:t>and  Social</w:t>
      </w:r>
      <w:proofErr w:type="gramEnd"/>
      <w:r>
        <w:rPr>
          <w:rFonts w:ascii="Times New Roman" w:hAnsi="Times New Roman" w:cs="Times New Roman"/>
          <w:i/>
          <w:sz w:val="24"/>
          <w:szCs w:val="24"/>
          <w:shd w:val="clear" w:color="auto" w:fill="FFFFFF"/>
        </w:rPr>
        <w:t xml:space="preserve"> Change,</w:t>
      </w:r>
      <w:r>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26</w:t>
      </w:r>
      <w:r>
        <w:rPr>
          <w:rFonts w:ascii="Times New Roman" w:hAnsi="Times New Roman" w:cs="Times New Roman"/>
          <w:sz w:val="24"/>
          <w:szCs w:val="24"/>
          <w:shd w:val="clear" w:color="auto" w:fill="FFFFFF"/>
        </w:rPr>
        <w:t>, 201–38.</w:t>
      </w:r>
    </w:p>
    <w:p>
      <w:pPr>
        <w:pStyle w:val="ListParagraph"/>
        <w:numPr>
          <w:ilvl w:val="0"/>
          <w:numId w:val="2"/>
        </w:numPr>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van </w:t>
      </w:r>
      <w:proofErr w:type="spellStart"/>
      <w:r>
        <w:rPr>
          <w:rFonts w:ascii="Times New Roman" w:eastAsia="Times New Roman" w:hAnsi="Times New Roman" w:cs="Times New Roman"/>
          <w:sz w:val="24"/>
          <w:szCs w:val="24"/>
          <w:lang w:eastAsia="en-GB"/>
        </w:rPr>
        <w:t>Dijk</w:t>
      </w:r>
      <w:proofErr w:type="spellEnd"/>
      <w:r>
        <w:rPr>
          <w:rFonts w:ascii="Times New Roman" w:eastAsia="Times New Roman" w:hAnsi="Times New Roman" w:cs="Times New Roman"/>
          <w:sz w:val="24"/>
          <w:szCs w:val="24"/>
          <w:lang w:eastAsia="en-GB"/>
        </w:rPr>
        <w:t xml:space="preserve">, M., </w:t>
      </w:r>
      <w:proofErr w:type="spellStart"/>
      <w:r>
        <w:rPr>
          <w:rFonts w:ascii="Times New Roman" w:eastAsia="Times New Roman" w:hAnsi="Times New Roman" w:cs="Times New Roman"/>
          <w:sz w:val="24"/>
          <w:szCs w:val="24"/>
          <w:lang w:eastAsia="en-GB"/>
        </w:rPr>
        <w:t>Kleemans</w:t>
      </w:r>
      <w:proofErr w:type="spellEnd"/>
      <w:r>
        <w:rPr>
          <w:rFonts w:ascii="Times New Roman" w:eastAsia="Times New Roman" w:hAnsi="Times New Roman" w:cs="Times New Roman"/>
          <w:sz w:val="24"/>
          <w:szCs w:val="24"/>
          <w:lang w:eastAsia="en-GB"/>
        </w:rPr>
        <w:t xml:space="preserve">, E., &amp; </w:t>
      </w:r>
      <w:proofErr w:type="spellStart"/>
      <w:r>
        <w:rPr>
          <w:rFonts w:ascii="Times New Roman" w:eastAsia="Times New Roman" w:hAnsi="Times New Roman" w:cs="Times New Roman"/>
          <w:sz w:val="24"/>
          <w:szCs w:val="24"/>
          <w:lang w:eastAsia="en-GB"/>
        </w:rPr>
        <w:t>Eichelsheim</w:t>
      </w:r>
      <w:proofErr w:type="spellEnd"/>
      <w:r>
        <w:rPr>
          <w:rFonts w:ascii="Times New Roman" w:eastAsia="Times New Roman" w:hAnsi="Times New Roman" w:cs="Times New Roman"/>
          <w:sz w:val="24"/>
          <w:szCs w:val="24"/>
          <w:lang w:eastAsia="en-GB"/>
        </w:rPr>
        <w:t xml:space="preserve">, V. (2019). Children of Organized Crime Offenders: Like Father, Like Child? An Explorative and Qualitative Study </w:t>
      </w:r>
      <w:proofErr w:type="gramStart"/>
      <w:r>
        <w:rPr>
          <w:rFonts w:ascii="Times New Roman" w:eastAsia="Times New Roman" w:hAnsi="Times New Roman" w:cs="Times New Roman"/>
          <w:sz w:val="24"/>
          <w:szCs w:val="24"/>
          <w:lang w:eastAsia="en-GB"/>
        </w:rPr>
        <w:t>Into</w:t>
      </w:r>
      <w:proofErr w:type="gramEnd"/>
      <w:r>
        <w:rPr>
          <w:rFonts w:ascii="Times New Roman" w:eastAsia="Times New Roman" w:hAnsi="Times New Roman" w:cs="Times New Roman"/>
          <w:sz w:val="24"/>
          <w:szCs w:val="24"/>
          <w:lang w:eastAsia="en-GB"/>
        </w:rPr>
        <w:t xml:space="preserve"> Mechanisms of Intergenerational (Dis)Continuity in Organized Crime Families. </w:t>
      </w:r>
      <w:r>
        <w:rPr>
          <w:rFonts w:ascii="Times New Roman" w:eastAsia="Times New Roman" w:hAnsi="Times New Roman" w:cs="Times New Roman"/>
          <w:i/>
          <w:sz w:val="24"/>
          <w:szCs w:val="24"/>
          <w:lang w:eastAsia="en-GB"/>
        </w:rPr>
        <w:t>European Journal on Criminal Policy and Research</w:t>
      </w:r>
      <w:r>
        <w:rPr>
          <w:rFonts w:ascii="Times New Roman" w:eastAsia="Times New Roman" w:hAnsi="Times New Roman" w:cs="Times New Roman"/>
          <w:sz w:val="24"/>
          <w:szCs w:val="24"/>
          <w:lang w:eastAsia="en-GB"/>
        </w:rPr>
        <w:t>,</w:t>
      </w:r>
      <w:r>
        <w:rPr>
          <w:rFonts w:ascii="Times New Roman" w:eastAsia="Times New Roman" w:hAnsi="Times New Roman" w:cs="Times New Roman"/>
          <w:i/>
          <w:sz w:val="24"/>
          <w:szCs w:val="24"/>
          <w:lang w:eastAsia="en-GB"/>
        </w:rPr>
        <w:t xml:space="preserve"> 25</w:t>
      </w:r>
      <w:r>
        <w:rPr>
          <w:rFonts w:ascii="Times New Roman" w:eastAsia="Times New Roman" w:hAnsi="Times New Roman" w:cs="Times New Roman"/>
          <w:sz w:val="24"/>
          <w:szCs w:val="24"/>
          <w:lang w:eastAsia="en-GB"/>
        </w:rPr>
        <w:t>, 345</w:t>
      </w:r>
      <w:r>
        <w:rPr>
          <w:rFonts w:ascii="Times New Roman" w:hAnsi="Times New Roman" w:cs="Times New Roman"/>
          <w:sz w:val="24"/>
          <w:szCs w:val="24"/>
          <w:shd w:val="clear" w:color="auto" w:fill="FCFCFC"/>
        </w:rPr>
        <w:t xml:space="preserve">–363. </w:t>
      </w:r>
    </w:p>
    <w:p>
      <w:pPr>
        <w:pStyle w:val="ListParagraph"/>
        <w:numPr>
          <w:ilvl w:val="0"/>
          <w:numId w:val="2"/>
        </w:numPr>
        <w:rPr>
          <w:rFonts w:ascii="Times New Roman" w:hAnsi="Times New Roman" w:cs="Times New Roman"/>
          <w:sz w:val="24"/>
          <w:szCs w:val="24"/>
        </w:rPr>
      </w:pPr>
      <w:proofErr w:type="spellStart"/>
      <w:r>
        <w:rPr>
          <w:rFonts w:ascii="Times New Roman" w:hAnsi="Times New Roman" w:cs="Times New Roman"/>
          <w:sz w:val="24"/>
          <w:szCs w:val="24"/>
        </w:rPr>
        <w:t>Finckenauer</w:t>
      </w:r>
      <w:proofErr w:type="spellEnd"/>
      <w:r>
        <w:rPr>
          <w:rFonts w:ascii="Times New Roman" w:hAnsi="Times New Roman" w:cs="Times New Roman"/>
          <w:sz w:val="24"/>
          <w:szCs w:val="24"/>
        </w:rPr>
        <w:t xml:space="preserve">, J. (2005). Problems of Definition: What is Organized Crime? </w:t>
      </w:r>
      <w:r>
        <w:rPr>
          <w:rFonts w:ascii="Times New Roman" w:hAnsi="Times New Roman" w:cs="Times New Roman"/>
          <w:i/>
          <w:sz w:val="24"/>
          <w:szCs w:val="24"/>
        </w:rPr>
        <w:t>Trends in Organized Crime</w:t>
      </w:r>
      <w:r>
        <w:rPr>
          <w:rFonts w:ascii="Times New Roman" w:hAnsi="Times New Roman" w:cs="Times New Roman"/>
          <w:sz w:val="24"/>
          <w:szCs w:val="24"/>
        </w:rPr>
        <w:t xml:space="preserve"> </w:t>
      </w:r>
      <w:r>
        <w:rPr>
          <w:rFonts w:ascii="Times New Roman" w:hAnsi="Times New Roman" w:cs="Times New Roman"/>
          <w:i/>
          <w:sz w:val="24"/>
          <w:szCs w:val="24"/>
        </w:rPr>
        <w:t>8</w:t>
      </w:r>
      <w:r>
        <w:rPr>
          <w:rFonts w:ascii="Times New Roman" w:hAnsi="Times New Roman" w:cs="Times New Roman"/>
          <w:sz w:val="24"/>
          <w:szCs w:val="24"/>
        </w:rPr>
        <w:t>(3), 63</w:t>
      </w:r>
      <w:r>
        <w:rPr>
          <w:rFonts w:ascii="Times New Roman" w:hAnsi="Times New Roman" w:cs="Times New Roman"/>
          <w:sz w:val="24"/>
          <w:szCs w:val="24"/>
          <w:shd w:val="clear" w:color="auto" w:fill="FCFCFC"/>
        </w:rPr>
        <w:t>–</w:t>
      </w:r>
      <w:r>
        <w:rPr>
          <w:rFonts w:ascii="Times New Roman" w:hAnsi="Times New Roman" w:cs="Times New Roman"/>
          <w:sz w:val="24"/>
          <w:szCs w:val="24"/>
        </w:rPr>
        <w:t>82.</w:t>
      </w:r>
    </w:p>
    <w:p>
      <w:pPr>
        <w:pStyle w:val="ListParagraph"/>
        <w:numPr>
          <w:ilvl w:val="0"/>
          <w:numId w:val="2"/>
        </w:numPr>
        <w:spacing w:before="240" w:after="240"/>
        <w:rPr>
          <w:rFonts w:ascii="Times New Roman" w:eastAsia="Times New Roman" w:hAnsi="Times New Roman" w:cs="Times New Roman"/>
          <w:color w:val="333333"/>
          <w:sz w:val="24"/>
          <w:szCs w:val="24"/>
        </w:rPr>
      </w:pPr>
      <w:r>
        <w:rPr>
          <w:rFonts w:ascii="Times New Roman" w:hAnsi="Times New Roman" w:cs="Times New Roman"/>
          <w:color w:val="222222"/>
          <w:sz w:val="24"/>
          <w:szCs w:val="24"/>
          <w:shd w:val="clear" w:color="auto" w:fill="FFFFFF"/>
        </w:rPr>
        <w:t>Griffiths, H. (1999). A political economy of ethnic conflict ethno</w:t>
      </w:r>
      <w:r>
        <w:rPr>
          <w:rFonts w:ascii="Cambria Math" w:hAnsi="Cambria Math" w:cs="Cambria Math"/>
          <w:color w:val="222222"/>
          <w:sz w:val="24"/>
          <w:szCs w:val="24"/>
          <w:shd w:val="clear" w:color="auto" w:fill="FFFFFF"/>
        </w:rPr>
        <w:t>‐</w:t>
      </w:r>
      <w:r>
        <w:rPr>
          <w:rFonts w:ascii="Times New Roman" w:hAnsi="Times New Roman" w:cs="Times New Roman"/>
          <w:color w:val="222222"/>
          <w:sz w:val="24"/>
          <w:szCs w:val="24"/>
          <w:shd w:val="clear" w:color="auto" w:fill="FFFFFF"/>
        </w:rPr>
        <w:t xml:space="preserve">nationalism and </w:t>
      </w:r>
      <w:proofErr w:type="spellStart"/>
      <w:r>
        <w:rPr>
          <w:rFonts w:ascii="Times New Roman" w:hAnsi="Times New Roman" w:cs="Times New Roman"/>
          <w:color w:val="222222"/>
          <w:sz w:val="24"/>
          <w:szCs w:val="24"/>
          <w:shd w:val="clear" w:color="auto" w:fill="FFFFFF"/>
        </w:rPr>
        <w:t>organised</w:t>
      </w:r>
      <w:proofErr w:type="spellEnd"/>
      <w:r>
        <w:rPr>
          <w:rFonts w:ascii="Times New Roman" w:hAnsi="Times New Roman" w:cs="Times New Roman"/>
          <w:color w:val="222222"/>
          <w:sz w:val="24"/>
          <w:szCs w:val="24"/>
          <w:shd w:val="clear" w:color="auto" w:fill="FFFFFF"/>
        </w:rPr>
        <w:t xml:space="preserve"> crime. </w:t>
      </w:r>
      <w:r>
        <w:rPr>
          <w:rFonts w:ascii="Times New Roman" w:hAnsi="Times New Roman" w:cs="Times New Roman"/>
          <w:i/>
          <w:iCs/>
          <w:color w:val="222222"/>
          <w:sz w:val="24"/>
          <w:szCs w:val="24"/>
          <w:shd w:val="clear" w:color="auto" w:fill="FFFFFF"/>
        </w:rPr>
        <w:t>Civil Wars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w:t>
      </w:r>
      <w:r>
        <w:rPr>
          <w:rFonts w:ascii="Times New Roman" w:hAnsi="Times New Roman" w:cs="Times New Roman"/>
          <w:color w:val="222222"/>
          <w:sz w:val="24"/>
          <w:szCs w:val="24"/>
          <w:shd w:val="clear" w:color="auto" w:fill="FFFFFF"/>
        </w:rPr>
        <w:t>(2), 56</w:t>
      </w:r>
      <w:r>
        <w:rPr>
          <w:rFonts w:ascii="Times New Roman" w:hAnsi="Times New Roman" w:cs="Times New Roman"/>
          <w:sz w:val="24"/>
          <w:szCs w:val="24"/>
          <w:shd w:val="clear" w:color="auto" w:fill="FCFCFC"/>
        </w:rPr>
        <w:t>–</w:t>
      </w:r>
      <w:r>
        <w:rPr>
          <w:rFonts w:ascii="Times New Roman" w:hAnsi="Times New Roman" w:cs="Times New Roman"/>
          <w:color w:val="222222"/>
          <w:sz w:val="24"/>
          <w:szCs w:val="24"/>
          <w:shd w:val="clear" w:color="auto" w:fill="FFFFFF"/>
        </w:rPr>
        <w:t>73.</w:t>
      </w:r>
    </w:p>
    <w:p>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lang w:val="sr-Latn-RS"/>
        </w:rPr>
        <w:lastRenderedPageBreak/>
        <w:t xml:space="preserve">Hagan, F. (1983). </w:t>
      </w:r>
      <w:r>
        <w:rPr>
          <w:rFonts w:ascii="Times New Roman" w:hAnsi="Times New Roman" w:cs="Times New Roman"/>
          <w:sz w:val="24"/>
          <w:szCs w:val="24"/>
        </w:rPr>
        <w:t xml:space="preserve">The Organized Crime Continuum: A Further Specification of a New Conceptual Model. </w:t>
      </w:r>
      <w:r>
        <w:rPr>
          <w:rFonts w:ascii="Times New Roman" w:hAnsi="Times New Roman" w:cs="Times New Roman"/>
          <w:i/>
          <w:sz w:val="24"/>
          <w:szCs w:val="24"/>
        </w:rPr>
        <w:t>Criminal Justice Review,</w:t>
      </w:r>
      <w:r>
        <w:rPr>
          <w:rFonts w:ascii="Times New Roman" w:hAnsi="Times New Roman" w:cs="Times New Roman"/>
          <w:sz w:val="24"/>
          <w:szCs w:val="24"/>
        </w:rPr>
        <w:t xml:space="preserve"> </w:t>
      </w:r>
      <w:r>
        <w:rPr>
          <w:rFonts w:ascii="Times New Roman" w:hAnsi="Times New Roman" w:cs="Times New Roman"/>
          <w:i/>
          <w:sz w:val="24"/>
          <w:szCs w:val="24"/>
        </w:rPr>
        <w:t>8</w:t>
      </w:r>
      <w:r>
        <w:rPr>
          <w:rFonts w:ascii="Times New Roman" w:hAnsi="Times New Roman" w:cs="Times New Roman"/>
          <w:sz w:val="24"/>
          <w:szCs w:val="24"/>
        </w:rPr>
        <w:t>(2),</w:t>
      </w:r>
      <w:r>
        <w:rPr>
          <w:rFonts w:ascii="Times New Roman" w:hAnsi="Times New Roman" w:cs="Times New Roman"/>
          <w:color w:val="333333"/>
          <w:sz w:val="24"/>
          <w:szCs w:val="24"/>
          <w:shd w:val="clear" w:color="auto" w:fill="FFFFFF"/>
        </w:rPr>
        <w:t xml:space="preserve"> 52</w:t>
      </w:r>
      <w:r>
        <w:rPr>
          <w:rFonts w:ascii="Times New Roman" w:hAnsi="Times New Roman" w:cs="Times New Roman"/>
          <w:sz w:val="24"/>
          <w:szCs w:val="24"/>
          <w:shd w:val="clear" w:color="auto" w:fill="FCFCFC"/>
        </w:rPr>
        <w:t>–</w:t>
      </w:r>
      <w:r>
        <w:rPr>
          <w:rFonts w:ascii="Times New Roman" w:hAnsi="Times New Roman" w:cs="Times New Roman"/>
          <w:color w:val="333333"/>
          <w:sz w:val="24"/>
          <w:szCs w:val="24"/>
          <w:shd w:val="clear" w:color="auto" w:fill="FFFFFF"/>
        </w:rPr>
        <w:t>57.</w:t>
      </w:r>
      <w:r>
        <w:rPr>
          <w:rFonts w:ascii="Times New Roman" w:hAnsi="Times New Roman" w:cs="Times New Roman"/>
          <w:sz w:val="24"/>
          <w:szCs w:val="24"/>
        </w:rPr>
        <w:t xml:space="preserve"> </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proofErr w:type="spellStart"/>
      <w:r>
        <w:rPr>
          <w:rFonts w:ascii="Times New Roman" w:hAnsi="Times New Roman" w:cs="Times New Roman"/>
          <w:sz w:val="24"/>
          <w:szCs w:val="24"/>
        </w:rPr>
        <w:t>Hadžović</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Kržalić</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Mihajlović</w:t>
      </w:r>
      <w:proofErr w:type="spellEnd"/>
      <w:r>
        <w:rPr>
          <w:rFonts w:ascii="Times New Roman" w:hAnsi="Times New Roman" w:cs="Times New Roman"/>
          <w:sz w:val="24"/>
          <w:szCs w:val="24"/>
        </w:rPr>
        <w:t xml:space="preserve">, S. (2011). </w:t>
      </w:r>
      <w:proofErr w:type="spellStart"/>
      <w:r>
        <w:rPr>
          <w:rFonts w:ascii="Times New Roman" w:hAnsi="Times New Roman" w:cs="Times New Roman"/>
          <w:i/>
          <w:sz w:val="24"/>
          <w:szCs w:val="24"/>
        </w:rPr>
        <w:t>Studija</w:t>
      </w:r>
      <w:proofErr w:type="spellEnd"/>
      <w:r>
        <w:rPr>
          <w:rFonts w:ascii="Times New Roman" w:hAnsi="Times New Roman" w:cs="Times New Roman"/>
          <w:i/>
          <w:sz w:val="24"/>
          <w:szCs w:val="24"/>
        </w:rPr>
        <w:t xml:space="preserve"> o </w:t>
      </w:r>
      <w:proofErr w:type="spellStart"/>
      <w:r>
        <w:rPr>
          <w:rFonts w:ascii="Times New Roman" w:hAnsi="Times New Roman" w:cs="Times New Roman"/>
          <w:i/>
          <w:sz w:val="24"/>
          <w:szCs w:val="24"/>
        </w:rPr>
        <w:t>malom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lakom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naoružanju</w:t>
      </w:r>
      <w:proofErr w:type="spellEnd"/>
      <w:r>
        <w:rPr>
          <w:rFonts w:ascii="Times New Roman" w:hAnsi="Times New Roman" w:cs="Times New Roman"/>
          <w:i/>
          <w:sz w:val="24"/>
          <w:szCs w:val="24"/>
        </w:rPr>
        <w:t xml:space="preserve"> </w:t>
      </w:r>
      <w:r>
        <w:rPr>
          <w:rFonts w:ascii="Times New Roman" w:hAnsi="Times New Roman" w:cs="Times New Roman"/>
          <w:sz w:val="24"/>
          <w:szCs w:val="24"/>
          <w:lang w:val="sr-Latn-RS"/>
        </w:rPr>
        <w:t>[</w:t>
      </w:r>
      <w:r>
        <w:rPr>
          <w:rFonts w:ascii="Times New Roman" w:hAnsi="Times New Roman" w:cs="Times New Roman"/>
          <w:i/>
          <w:sz w:val="24"/>
          <w:szCs w:val="24"/>
        </w:rPr>
        <w:t>A study on small arms and light weapons</w:t>
      </w:r>
      <w:r>
        <w:rPr>
          <w:rFonts w:ascii="Times New Roman" w:hAnsi="Times New Roman" w:cs="Times New Roman"/>
          <w:sz w:val="24"/>
          <w:szCs w:val="24"/>
          <w:lang w:val="sr-Latn-RS"/>
        </w:rPr>
        <w:t xml:space="preserve">]. </w:t>
      </w:r>
      <w:r>
        <w:rPr>
          <w:rFonts w:ascii="Times New Roman" w:hAnsi="Times New Roman" w:cs="Times New Roman"/>
          <w:sz w:val="24"/>
          <w:szCs w:val="24"/>
        </w:rPr>
        <w:t xml:space="preserve">Sarajevo: UNDP.  </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eastAsia="Times New Roman" w:hAnsi="Times New Roman" w:cs="Times New Roman"/>
          <w:sz w:val="24"/>
          <w:szCs w:val="24"/>
          <w:lang w:val="sr-Latn-BA" w:eastAsia="en-GB"/>
        </w:rPr>
        <w:t xml:space="preserve">Ignjatović, Đ., Škulić, M. (2012). </w:t>
      </w:r>
      <w:r>
        <w:rPr>
          <w:rFonts w:ascii="Times New Roman" w:eastAsia="Times New Roman" w:hAnsi="Times New Roman" w:cs="Times New Roman"/>
          <w:i/>
          <w:sz w:val="24"/>
          <w:szCs w:val="24"/>
          <w:lang w:val="sr-Latn-BA" w:eastAsia="en-GB"/>
        </w:rPr>
        <w:t>Organizovani kriminalitet</w:t>
      </w:r>
      <w:r>
        <w:rPr>
          <w:rFonts w:ascii="Times New Roman" w:eastAsia="Times New Roman" w:hAnsi="Times New Roman" w:cs="Times New Roman"/>
          <w:sz w:val="24"/>
          <w:szCs w:val="24"/>
          <w:lang w:val="sr-Latn-BA" w:eastAsia="en-GB"/>
        </w:rPr>
        <w:t xml:space="preserve"> </w:t>
      </w:r>
      <w:r>
        <w:rPr>
          <w:rFonts w:ascii="Times New Roman" w:hAnsi="Times New Roman" w:cs="Times New Roman"/>
          <w:sz w:val="24"/>
          <w:szCs w:val="24"/>
          <w:lang w:val="sr-Latn-RS"/>
        </w:rPr>
        <w:t>[</w:t>
      </w:r>
      <w:r>
        <w:rPr>
          <w:rFonts w:ascii="Times New Roman" w:eastAsia="Times New Roman" w:hAnsi="Times New Roman" w:cs="Times New Roman"/>
          <w:i/>
          <w:sz w:val="24"/>
          <w:szCs w:val="24"/>
          <w:lang w:val="sr-Latn-BA" w:eastAsia="en-GB"/>
        </w:rPr>
        <w:t>Organized crime</w:t>
      </w:r>
      <w:r>
        <w:rPr>
          <w:rFonts w:ascii="Times New Roman" w:hAnsi="Times New Roman" w:cs="Times New Roman"/>
          <w:sz w:val="24"/>
          <w:szCs w:val="24"/>
          <w:lang w:val="sr-Latn-RS"/>
        </w:rPr>
        <w:t>].</w:t>
      </w:r>
      <w:r>
        <w:rPr>
          <w:rFonts w:ascii="Times New Roman" w:eastAsia="Times New Roman" w:hAnsi="Times New Roman" w:cs="Times New Roman"/>
          <w:sz w:val="24"/>
          <w:szCs w:val="24"/>
          <w:lang w:val="sr-Latn-BA" w:eastAsia="en-GB"/>
        </w:rPr>
        <w:t xml:space="preserve"> Beograd: Pravni fakultet Univerziteta u Beogradu.</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eastAsia="Times New Roman" w:hAnsi="Times New Roman" w:cs="Times New Roman"/>
          <w:sz w:val="24"/>
          <w:szCs w:val="24"/>
          <w:lang w:val="sr-Latn-BA" w:eastAsia="en-GB"/>
        </w:rPr>
        <w:t xml:space="preserve">Jamaković, A. (2019). </w:t>
      </w:r>
      <w:r>
        <w:rPr>
          <w:rFonts w:ascii="Times New Roman" w:hAnsi="Times New Roman" w:cs="Times New Roman"/>
          <w:sz w:val="24"/>
          <w:szCs w:val="24"/>
          <w:lang w:val="sr-Latn-BA"/>
        </w:rPr>
        <w:t xml:space="preserve">Politika sankcionisanja počinitelja organizovanog kriminaliteta u i van zločinačkog kolektiviteta u praksi Suda bosne i hercegovine za period 2009 – 2015. godine </w:t>
      </w:r>
      <w:r>
        <w:rPr>
          <w:rFonts w:ascii="Times New Roman" w:hAnsi="Times New Roman" w:cs="Times New Roman"/>
          <w:sz w:val="24"/>
          <w:szCs w:val="24"/>
          <w:lang w:val="sr-Latn-RS"/>
        </w:rPr>
        <w:t>[</w:t>
      </w:r>
      <w:r>
        <w:rPr>
          <w:rFonts w:ascii="Times New Roman" w:hAnsi="Times New Roman" w:cs="Times New Roman"/>
          <w:sz w:val="24"/>
          <w:szCs w:val="24"/>
          <w:lang w:val="sr-Latn-BA"/>
        </w:rPr>
        <w:t>Sanctioning policy against perpetrators of organized crime within and outside the criminal community in the practice of the Court of Bosnia and Herzegovina for the period 2009 - 2015</w:t>
      </w:r>
      <w:r>
        <w:rPr>
          <w:rFonts w:ascii="Times New Roman" w:hAnsi="Times New Roman" w:cs="Times New Roman"/>
          <w:sz w:val="24"/>
          <w:szCs w:val="24"/>
          <w:lang w:val="sr-Latn-RS"/>
        </w:rPr>
        <w:t>]</w:t>
      </w:r>
      <w:r>
        <w:rPr>
          <w:rFonts w:ascii="Times New Roman" w:hAnsi="Times New Roman" w:cs="Times New Roman"/>
          <w:sz w:val="24"/>
          <w:szCs w:val="24"/>
          <w:lang w:val="sr-Latn-BA"/>
        </w:rPr>
        <w:t xml:space="preserve">. </w:t>
      </w:r>
      <w:r>
        <w:rPr>
          <w:rFonts w:ascii="Times New Roman" w:hAnsi="Times New Roman" w:cs="Times New Roman"/>
          <w:i/>
          <w:sz w:val="24"/>
          <w:szCs w:val="24"/>
          <w:lang w:val="sr-Latn-BA"/>
        </w:rPr>
        <w:t>Društvena i tehnička istraživanja,</w:t>
      </w:r>
      <w:r>
        <w:rPr>
          <w:rFonts w:ascii="Times New Roman" w:hAnsi="Times New Roman" w:cs="Times New Roman"/>
          <w:sz w:val="24"/>
          <w:szCs w:val="24"/>
          <w:lang w:val="sr-Latn-BA"/>
        </w:rPr>
        <w:t xml:space="preserve"> </w:t>
      </w:r>
      <w:r>
        <w:rPr>
          <w:rFonts w:ascii="Times New Roman" w:hAnsi="Times New Roman" w:cs="Times New Roman"/>
          <w:i/>
          <w:sz w:val="24"/>
          <w:szCs w:val="24"/>
          <w:lang w:val="sr-Latn-BA"/>
        </w:rPr>
        <w:t>2/2019</w:t>
      </w:r>
      <w:r>
        <w:rPr>
          <w:rFonts w:ascii="Times New Roman" w:hAnsi="Times New Roman" w:cs="Times New Roman"/>
          <w:sz w:val="24"/>
          <w:szCs w:val="24"/>
          <w:lang w:val="sr-Latn-BA"/>
        </w:rPr>
        <w:t>, 107–127.</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eastAsia="Times New Roman" w:hAnsi="Times New Roman" w:cs="Times New Roman"/>
          <w:sz w:val="24"/>
          <w:szCs w:val="24"/>
          <w:lang w:val="sr-Latn-BA" w:eastAsia="en-GB"/>
        </w:rPr>
        <w:t xml:space="preserve">Krivični zakon BiH, Službeni glasnik BiH </w:t>
      </w:r>
      <w:r>
        <w:rPr>
          <w:rFonts w:ascii="Times New Roman" w:hAnsi="Times New Roman" w:cs="Times New Roman"/>
          <w:sz w:val="24"/>
          <w:szCs w:val="24"/>
          <w:lang w:val="sr-Latn-RS"/>
        </w:rPr>
        <w:t>[</w:t>
      </w:r>
      <w:r>
        <w:rPr>
          <w:rFonts w:ascii="Times New Roman" w:eastAsia="Times New Roman" w:hAnsi="Times New Roman" w:cs="Times New Roman"/>
          <w:sz w:val="24"/>
          <w:szCs w:val="24"/>
          <w:lang w:val="sr-Latn-BA" w:eastAsia="en-GB"/>
        </w:rPr>
        <w:t>Criminal Code of BiH, Official Gazette of BiH</w:t>
      </w:r>
      <w:r>
        <w:rPr>
          <w:rFonts w:ascii="Times New Roman" w:hAnsi="Times New Roman" w:cs="Times New Roman"/>
          <w:sz w:val="24"/>
          <w:szCs w:val="24"/>
          <w:lang w:val="sr-Latn-RS"/>
        </w:rPr>
        <w:t>]</w:t>
      </w:r>
      <w:r>
        <w:rPr>
          <w:rFonts w:ascii="Times New Roman" w:eastAsia="Times New Roman" w:hAnsi="Times New Roman" w:cs="Times New Roman"/>
          <w:sz w:val="24"/>
          <w:szCs w:val="24"/>
          <w:lang w:val="sr-Latn-BA" w:eastAsia="en-GB"/>
        </w:rPr>
        <w:t xml:space="preserve"> br. 3/2003, 32/2003 - ispr., 37/2003, 54/2004, 61/2004, 30/2005, 53/2006, 55/2006, 8/2010, 47/2014, 22/2015, 40/2015, 35/2018, 46/2021.</w:t>
      </w:r>
    </w:p>
    <w:p>
      <w:pPr>
        <w:pStyle w:val="ListParagraph"/>
        <w:numPr>
          <w:ilvl w:val="0"/>
          <w:numId w:val="2"/>
        </w:numPr>
        <w:rPr>
          <w:rFonts w:ascii="Times New Roman" w:hAnsi="Times New Roman" w:cs="Times New Roman"/>
          <w:color w:val="000000"/>
          <w:spacing w:val="5"/>
          <w:sz w:val="24"/>
          <w:szCs w:val="24"/>
          <w:shd w:val="clear" w:color="auto" w:fill="FFFFFF"/>
        </w:rPr>
      </w:pPr>
      <w:r>
        <w:rPr>
          <w:rFonts w:ascii="Times New Roman" w:hAnsi="Times New Roman" w:cs="Times New Roman"/>
          <w:sz w:val="24"/>
          <w:szCs w:val="24"/>
        </w:rPr>
        <w:t>Longo, F. (2010). Discoursing Organized Crime: Towards a Two-Level Analysis. In</w:t>
      </w:r>
      <w:r>
        <w:rPr>
          <w:rStyle w:val="product-banner-author"/>
          <w:rFonts w:ascii="Times New Roman" w:hAnsi="Times New Roman" w:cs="Times New Roman"/>
          <w:iCs/>
          <w:color w:val="666666"/>
          <w:spacing w:val="6"/>
          <w:sz w:val="24"/>
          <w:szCs w:val="24"/>
          <w:shd w:val="clear" w:color="auto" w:fill="FFFFFF"/>
        </w:rPr>
        <w:t xml:space="preserve"> </w:t>
      </w:r>
      <w:r>
        <w:rPr>
          <w:rStyle w:val="product-banner-author"/>
          <w:rFonts w:ascii="Times New Roman" w:hAnsi="Times New Roman" w:cs="Times New Roman"/>
          <w:iCs/>
          <w:spacing w:val="6"/>
          <w:sz w:val="24"/>
          <w:szCs w:val="24"/>
          <w:shd w:val="clear" w:color="auto" w:fill="FFFFFF"/>
        </w:rPr>
        <w:t xml:space="preserve">F. </w:t>
      </w:r>
      <w:proofErr w:type="spellStart"/>
      <w:r>
        <w:rPr>
          <w:rStyle w:val="product-banner-author-name"/>
          <w:rFonts w:ascii="Times New Roman" w:hAnsi="Times New Roman" w:cs="Times New Roman"/>
          <w:iCs/>
          <w:color w:val="000000"/>
          <w:spacing w:val="6"/>
          <w:sz w:val="24"/>
          <w:szCs w:val="24"/>
          <w:shd w:val="clear" w:color="auto" w:fill="FFFFFF"/>
        </w:rPr>
        <w:t>Allum</w:t>
      </w:r>
      <w:proofErr w:type="spellEnd"/>
      <w:r>
        <w:rPr>
          <w:rStyle w:val="product-banner-author-name"/>
          <w:rFonts w:ascii="Times New Roman" w:hAnsi="Times New Roman" w:cs="Times New Roman"/>
          <w:iCs/>
          <w:color w:val="000000"/>
          <w:spacing w:val="6"/>
          <w:sz w:val="24"/>
          <w:szCs w:val="24"/>
          <w:shd w:val="clear" w:color="auto" w:fill="FFFFFF"/>
        </w:rPr>
        <w:t xml:space="preserve">, F. Longo, D. </w:t>
      </w:r>
      <w:proofErr w:type="spellStart"/>
      <w:r>
        <w:rPr>
          <w:rStyle w:val="product-banner-author-name"/>
          <w:rFonts w:ascii="Times New Roman" w:hAnsi="Times New Roman" w:cs="Times New Roman"/>
          <w:iCs/>
          <w:color w:val="000000"/>
          <w:spacing w:val="6"/>
          <w:sz w:val="24"/>
          <w:szCs w:val="24"/>
          <w:shd w:val="clear" w:color="auto" w:fill="FFFFFF"/>
        </w:rPr>
        <w:t>Irrera</w:t>
      </w:r>
      <w:proofErr w:type="spellEnd"/>
      <w:r>
        <w:rPr>
          <w:rStyle w:val="product-banner-author-name"/>
          <w:rFonts w:ascii="Times New Roman" w:hAnsi="Times New Roman" w:cs="Times New Roman"/>
          <w:iCs/>
          <w:color w:val="000000"/>
          <w:spacing w:val="6"/>
          <w:sz w:val="24"/>
          <w:szCs w:val="24"/>
          <w:shd w:val="clear" w:color="auto" w:fill="FFFFFF"/>
        </w:rPr>
        <w:t xml:space="preserve">, &amp; P. </w:t>
      </w:r>
      <w:proofErr w:type="spellStart"/>
      <w:r>
        <w:rPr>
          <w:rStyle w:val="product-banner-author-name"/>
          <w:rFonts w:ascii="Times New Roman" w:hAnsi="Times New Roman" w:cs="Times New Roman"/>
          <w:iCs/>
          <w:color w:val="000000"/>
          <w:spacing w:val="6"/>
          <w:sz w:val="24"/>
          <w:szCs w:val="24"/>
          <w:shd w:val="clear" w:color="auto" w:fill="FFFFFF"/>
        </w:rPr>
        <w:t>Kostakos</w:t>
      </w:r>
      <w:proofErr w:type="spellEnd"/>
      <w:r>
        <w:rPr>
          <w:rStyle w:val="product-banner-author-name"/>
          <w:rFonts w:ascii="Times New Roman" w:hAnsi="Times New Roman" w:cs="Times New Roman"/>
          <w:iCs/>
          <w:color w:val="000000"/>
          <w:spacing w:val="6"/>
          <w:sz w:val="24"/>
          <w:szCs w:val="24"/>
          <w:shd w:val="clear" w:color="auto" w:fill="FFFFFF"/>
        </w:rPr>
        <w:t xml:space="preserve"> (</w:t>
      </w:r>
      <w:proofErr w:type="spellStart"/>
      <w:r>
        <w:rPr>
          <w:rStyle w:val="product-banner-author-name"/>
          <w:rFonts w:ascii="Times New Roman" w:hAnsi="Times New Roman" w:cs="Times New Roman"/>
          <w:iCs/>
          <w:color w:val="000000"/>
          <w:spacing w:val="6"/>
          <w:sz w:val="24"/>
          <w:szCs w:val="24"/>
          <w:shd w:val="clear" w:color="auto" w:fill="FFFFFF"/>
        </w:rPr>
        <w:t>Eds</w:t>
      </w:r>
      <w:proofErr w:type="spellEnd"/>
      <w:r>
        <w:rPr>
          <w:rStyle w:val="product-banner-author-name"/>
          <w:rFonts w:ascii="Times New Roman" w:hAnsi="Times New Roman" w:cs="Times New Roman"/>
          <w:iCs/>
          <w:color w:val="000000"/>
          <w:spacing w:val="6"/>
          <w:sz w:val="24"/>
          <w:szCs w:val="24"/>
          <w:shd w:val="clear" w:color="auto" w:fill="FFFFFF"/>
        </w:rPr>
        <w:t xml:space="preserve">), </w:t>
      </w:r>
      <w:r>
        <w:rPr>
          <w:rStyle w:val="product-banner-author-name"/>
          <w:rFonts w:ascii="Times New Roman" w:hAnsi="Times New Roman" w:cs="Times New Roman"/>
          <w:i/>
          <w:iCs/>
          <w:color w:val="000000"/>
          <w:spacing w:val="6"/>
          <w:sz w:val="24"/>
          <w:szCs w:val="24"/>
          <w:shd w:val="clear" w:color="auto" w:fill="FFFFFF"/>
        </w:rPr>
        <w:t>Defining</w:t>
      </w:r>
      <w:r>
        <w:rPr>
          <w:rFonts w:ascii="Times New Roman" w:hAnsi="Times New Roman" w:cs="Times New Roman"/>
          <w:i/>
          <w:sz w:val="24"/>
          <w:szCs w:val="24"/>
        </w:rPr>
        <w:t xml:space="preserve"> and Defying </w:t>
      </w:r>
      <w:proofErr w:type="spellStart"/>
      <w:r>
        <w:rPr>
          <w:rFonts w:ascii="Times New Roman" w:hAnsi="Times New Roman" w:cs="Times New Roman"/>
          <w:i/>
          <w:sz w:val="24"/>
          <w:szCs w:val="24"/>
        </w:rPr>
        <w:t>Organised</w:t>
      </w:r>
      <w:proofErr w:type="spellEnd"/>
      <w:r>
        <w:rPr>
          <w:rFonts w:ascii="Times New Roman" w:hAnsi="Times New Roman" w:cs="Times New Roman"/>
          <w:i/>
          <w:sz w:val="24"/>
          <w:szCs w:val="24"/>
        </w:rPr>
        <w:t xml:space="preserve"> Crime</w:t>
      </w:r>
      <w:r>
        <w:rPr>
          <w:rFonts w:ascii="Times New Roman" w:hAnsi="Times New Roman" w:cs="Times New Roman"/>
          <w:sz w:val="24"/>
          <w:szCs w:val="24"/>
        </w:rPr>
        <w:t xml:space="preserve"> (pp.17-31). </w:t>
      </w:r>
      <w:r>
        <w:rPr>
          <w:rFonts w:ascii="Times New Roman" w:hAnsi="Times New Roman" w:cs="Times New Roman"/>
          <w:color w:val="000000"/>
          <w:spacing w:val="5"/>
          <w:sz w:val="24"/>
          <w:szCs w:val="24"/>
          <w:shd w:val="clear" w:color="auto" w:fill="FFFFFF"/>
        </w:rPr>
        <w:t>London: Routledge.</w:t>
      </w:r>
    </w:p>
    <w:p>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Paoli L. (2016). Towards a Theory of Organized Crime: Some Preliminary Reflections. In G. Antonopoulos (Ed.), </w:t>
      </w:r>
      <w:r>
        <w:rPr>
          <w:rFonts w:ascii="Times New Roman" w:hAnsi="Times New Roman" w:cs="Times New Roman"/>
          <w:i/>
          <w:sz w:val="24"/>
          <w:szCs w:val="24"/>
        </w:rPr>
        <w:t>Illegal Entrepreneurship, Organized Crime and Social Control.</w:t>
      </w:r>
      <w:r>
        <w:rPr>
          <w:rFonts w:ascii="Times New Roman" w:hAnsi="Times New Roman" w:cs="Times New Roman"/>
          <w:sz w:val="24"/>
          <w:szCs w:val="24"/>
        </w:rPr>
        <w:t xml:space="preserve"> Studies of Organized Crime, Vol. 14. Springer, Cham. https://doi.org/10.1007/978-3-319-31608-6_1 </w:t>
      </w:r>
    </w:p>
    <w:p>
      <w:pPr>
        <w:pStyle w:val="ListParagraph"/>
        <w:numPr>
          <w:ilvl w:val="0"/>
          <w:numId w:val="2"/>
        </w:numPr>
        <w:rPr>
          <w:rFonts w:ascii="Times New Roman" w:hAnsi="Times New Roman" w:cs="Times New Roman"/>
          <w:sz w:val="24"/>
          <w:szCs w:val="24"/>
          <w:shd w:val="clear" w:color="auto" w:fill="FFFFFF"/>
        </w:rPr>
      </w:pPr>
      <w:r>
        <w:rPr>
          <w:rFonts w:ascii="Times New Roman" w:hAnsi="Times New Roman" w:cs="Times New Roman"/>
          <w:bCs/>
          <w:sz w:val="24"/>
          <w:szCs w:val="24"/>
        </w:rPr>
        <w:t xml:space="preserve">Paoli, L. (2003). </w:t>
      </w:r>
      <w:r>
        <w:rPr>
          <w:rFonts w:ascii="Times New Roman" w:hAnsi="Times New Roman" w:cs="Times New Roman"/>
          <w:i/>
          <w:sz w:val="24"/>
          <w:szCs w:val="24"/>
          <w:shd w:val="clear" w:color="auto" w:fill="FFFFFF"/>
        </w:rPr>
        <w:t>Mafia brotherhoods: Organized Crime, Italian style</w:t>
      </w:r>
      <w:r>
        <w:rPr>
          <w:rFonts w:ascii="Times New Roman" w:hAnsi="Times New Roman" w:cs="Times New Roman"/>
          <w:sz w:val="24"/>
          <w:szCs w:val="24"/>
          <w:shd w:val="clear" w:color="auto" w:fill="FFFFFF"/>
        </w:rPr>
        <w:t>. New York: Oxford University Press.</w:t>
      </w:r>
    </w:p>
    <w:p>
      <w:pPr>
        <w:pStyle w:val="FootnoteText"/>
        <w:numPr>
          <w:ilvl w:val="0"/>
          <w:numId w:val="2"/>
        </w:numPr>
        <w:rPr>
          <w:rFonts w:ascii="Times New Roman" w:hAnsi="Times New Roman" w:cs="Times New Roman"/>
          <w:sz w:val="24"/>
          <w:szCs w:val="24"/>
          <w:lang w:val="hr-BA"/>
        </w:rPr>
      </w:pPr>
      <w:proofErr w:type="spellStart"/>
      <w:r>
        <w:rPr>
          <w:rFonts w:ascii="Times New Roman" w:hAnsi="Times New Roman" w:cs="Times New Roman"/>
          <w:sz w:val="24"/>
          <w:szCs w:val="24"/>
          <w:shd w:val="clear" w:color="auto" w:fill="FFFFFF"/>
        </w:rPr>
        <w:t>Petrović</w:t>
      </w:r>
      <w:proofErr w:type="spellEnd"/>
      <w:r>
        <w:rPr>
          <w:rFonts w:ascii="Times New Roman" w:hAnsi="Times New Roman" w:cs="Times New Roman"/>
          <w:sz w:val="24"/>
          <w:szCs w:val="24"/>
          <w:shd w:val="clear" w:color="auto" w:fill="FFFFFF"/>
        </w:rPr>
        <w:t xml:space="preserve">, B., &amp; </w:t>
      </w:r>
      <w:proofErr w:type="spellStart"/>
      <w:r>
        <w:rPr>
          <w:rFonts w:ascii="Times New Roman" w:hAnsi="Times New Roman" w:cs="Times New Roman"/>
          <w:sz w:val="24"/>
          <w:szCs w:val="24"/>
          <w:shd w:val="clear" w:color="auto" w:fill="FFFFFF"/>
        </w:rPr>
        <w:t>Dobovšek</w:t>
      </w:r>
      <w:proofErr w:type="spellEnd"/>
      <w:r>
        <w:rPr>
          <w:rFonts w:ascii="Times New Roman" w:hAnsi="Times New Roman" w:cs="Times New Roman"/>
          <w:sz w:val="24"/>
          <w:szCs w:val="24"/>
          <w:shd w:val="clear" w:color="auto" w:fill="FFFFFF"/>
        </w:rPr>
        <w:t xml:space="preserve">, B. (2007). </w:t>
      </w:r>
      <w:proofErr w:type="spellStart"/>
      <w:r>
        <w:rPr>
          <w:rFonts w:ascii="Times New Roman" w:hAnsi="Times New Roman" w:cs="Times New Roman"/>
          <w:i/>
          <w:sz w:val="24"/>
          <w:szCs w:val="24"/>
          <w:shd w:val="clear" w:color="auto" w:fill="FFFFFF"/>
        </w:rPr>
        <w:t>Mreže</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organiziranog</w:t>
      </w:r>
      <w:proofErr w:type="spellEnd"/>
      <w:r>
        <w:rPr>
          <w:rFonts w:ascii="Times New Roman" w:hAnsi="Times New Roman" w:cs="Times New Roman"/>
          <w:i/>
          <w:sz w:val="24"/>
          <w:szCs w:val="24"/>
          <w:shd w:val="clear" w:color="auto" w:fill="FFFFFF"/>
        </w:rPr>
        <w:t xml:space="preserve"> </w:t>
      </w:r>
      <w:proofErr w:type="spellStart"/>
      <w:r>
        <w:rPr>
          <w:rFonts w:ascii="Times New Roman" w:hAnsi="Times New Roman" w:cs="Times New Roman"/>
          <w:i/>
          <w:sz w:val="24"/>
          <w:szCs w:val="24"/>
          <w:shd w:val="clear" w:color="auto" w:fill="FFFFFF"/>
        </w:rPr>
        <w:t>kriminala</w:t>
      </w:r>
      <w:proofErr w:type="spellEnd"/>
      <w:r>
        <w:rPr>
          <w:rFonts w:ascii="Times New Roman" w:hAnsi="Times New Roman" w:cs="Times New Roman"/>
          <w:sz w:val="24"/>
          <w:szCs w:val="24"/>
          <w:shd w:val="clear" w:color="auto" w:fill="FFFFFF"/>
        </w:rPr>
        <w:t xml:space="preserve"> </w:t>
      </w:r>
      <w:r>
        <w:rPr>
          <w:rFonts w:ascii="Times New Roman" w:hAnsi="Times New Roman" w:cs="Times New Roman"/>
          <w:sz w:val="24"/>
          <w:szCs w:val="24"/>
          <w:lang w:val="sr-Latn-RS"/>
        </w:rPr>
        <w:t>[</w:t>
      </w:r>
      <w:r>
        <w:rPr>
          <w:rFonts w:ascii="Times New Roman" w:hAnsi="Times New Roman" w:cs="Times New Roman"/>
          <w:i/>
          <w:sz w:val="24"/>
          <w:szCs w:val="24"/>
          <w:shd w:val="clear" w:color="auto" w:fill="FFFFFF"/>
        </w:rPr>
        <w:t>Organized crime networks</w:t>
      </w:r>
      <w:r>
        <w:rPr>
          <w:rFonts w:ascii="Times New Roman" w:hAnsi="Times New Roman" w:cs="Times New Roman"/>
          <w:sz w:val="24"/>
          <w:szCs w:val="24"/>
          <w:lang w:val="sr-Latn-RS"/>
        </w:rPr>
        <w:t>].</w:t>
      </w:r>
      <w:r>
        <w:rPr>
          <w:rFonts w:ascii="Times New Roman" w:hAnsi="Times New Roman" w:cs="Times New Roman"/>
          <w:sz w:val="24"/>
          <w:szCs w:val="24"/>
          <w:shd w:val="clear" w:color="auto" w:fill="FFFFFF"/>
        </w:rPr>
        <w:t xml:space="preserve"> Sarajevo: </w:t>
      </w:r>
      <w:proofErr w:type="spellStart"/>
      <w:r>
        <w:rPr>
          <w:rFonts w:ascii="Times New Roman" w:hAnsi="Times New Roman" w:cs="Times New Roman"/>
          <w:sz w:val="24"/>
          <w:szCs w:val="24"/>
          <w:shd w:val="clear" w:color="auto" w:fill="FFFFFF"/>
        </w:rPr>
        <w:t>Pravni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fakultet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Univeziteta</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Sarajevu</w:t>
      </w:r>
      <w:proofErr w:type="spellEnd"/>
      <w:r>
        <w:rPr>
          <w:rFonts w:ascii="Times New Roman" w:hAnsi="Times New Roman" w:cs="Times New Roman"/>
          <w:sz w:val="24"/>
          <w:szCs w:val="24"/>
          <w:shd w:val="clear" w:color="auto" w:fill="FFFFFF"/>
        </w:rPr>
        <w:t>.</w:t>
      </w:r>
    </w:p>
    <w:p>
      <w:pPr>
        <w:pStyle w:val="FootnoteText"/>
        <w:numPr>
          <w:ilvl w:val="0"/>
          <w:numId w:val="2"/>
        </w:numPr>
        <w:rPr>
          <w:rFonts w:ascii="Times New Roman" w:hAnsi="Times New Roman" w:cs="Times New Roman"/>
          <w:sz w:val="24"/>
          <w:szCs w:val="24"/>
          <w:lang w:val="hr-BA"/>
        </w:rPr>
      </w:pPr>
      <w:proofErr w:type="spellStart"/>
      <w:r>
        <w:rPr>
          <w:rFonts w:ascii="Times New Roman" w:hAnsi="Times New Roman" w:cs="Times New Roman"/>
          <w:sz w:val="24"/>
          <w:szCs w:val="24"/>
          <w:shd w:val="clear" w:color="auto" w:fill="FFFFFF"/>
        </w:rPr>
        <w:t>Petrović</w:t>
      </w:r>
      <w:proofErr w:type="spellEnd"/>
      <w:r>
        <w:rPr>
          <w:rFonts w:ascii="Times New Roman" w:hAnsi="Times New Roman" w:cs="Times New Roman"/>
          <w:sz w:val="24"/>
          <w:szCs w:val="24"/>
          <w:shd w:val="clear" w:color="auto" w:fill="FFFFFF"/>
        </w:rPr>
        <w:t xml:space="preserve">, B., &amp; </w:t>
      </w:r>
      <w:proofErr w:type="spellStart"/>
      <w:r>
        <w:rPr>
          <w:rFonts w:ascii="Times New Roman" w:hAnsi="Times New Roman" w:cs="Times New Roman"/>
          <w:sz w:val="24"/>
          <w:szCs w:val="24"/>
          <w:shd w:val="clear" w:color="auto" w:fill="FFFFFF"/>
        </w:rPr>
        <w:t>Meško</w:t>
      </w:r>
      <w:proofErr w:type="spellEnd"/>
      <w:r>
        <w:rPr>
          <w:rFonts w:ascii="Times New Roman" w:hAnsi="Times New Roman" w:cs="Times New Roman"/>
          <w:sz w:val="24"/>
          <w:szCs w:val="24"/>
          <w:shd w:val="clear" w:color="auto" w:fill="FFFFFF"/>
        </w:rPr>
        <w:t xml:space="preserve">, G. (2008). </w:t>
      </w:r>
      <w:proofErr w:type="spellStart"/>
      <w:r>
        <w:rPr>
          <w:rFonts w:ascii="Times New Roman" w:hAnsi="Times New Roman" w:cs="Times New Roman"/>
          <w:i/>
          <w:sz w:val="24"/>
          <w:szCs w:val="24"/>
          <w:shd w:val="clear" w:color="auto" w:fill="FFFFFF"/>
        </w:rPr>
        <w:t>Kriminologija</w:t>
      </w:r>
      <w:proofErr w:type="spellEnd"/>
      <w:r>
        <w:rPr>
          <w:rFonts w:ascii="Times New Roman" w:hAnsi="Times New Roman" w:cs="Times New Roman"/>
          <w:sz w:val="24"/>
          <w:szCs w:val="24"/>
          <w:shd w:val="clear" w:color="auto" w:fill="FFFFFF"/>
        </w:rPr>
        <w:t xml:space="preserve"> </w:t>
      </w:r>
      <w:r>
        <w:rPr>
          <w:rFonts w:ascii="Times New Roman" w:hAnsi="Times New Roman" w:cs="Times New Roman"/>
          <w:sz w:val="24"/>
          <w:szCs w:val="24"/>
          <w:lang w:val="sr-Latn-RS"/>
        </w:rPr>
        <w:t>[</w:t>
      </w:r>
      <w:r>
        <w:rPr>
          <w:rFonts w:ascii="Times New Roman" w:hAnsi="Times New Roman" w:cs="Times New Roman"/>
          <w:i/>
          <w:sz w:val="24"/>
          <w:szCs w:val="24"/>
          <w:shd w:val="clear" w:color="auto" w:fill="FFFFFF"/>
        </w:rPr>
        <w:t>Criminology</w:t>
      </w:r>
      <w:proofErr w:type="gramStart"/>
      <w:r>
        <w:rPr>
          <w:rFonts w:ascii="Times New Roman" w:hAnsi="Times New Roman" w:cs="Times New Roman"/>
          <w:sz w:val="24"/>
          <w:szCs w:val="24"/>
          <w:lang w:val="sr-Latn-RS"/>
        </w:rPr>
        <w:t>]</w:t>
      </w:r>
      <w:r>
        <w:rPr>
          <w:rFonts w:ascii="Times New Roman" w:hAnsi="Times New Roman" w:cs="Times New Roman"/>
          <w:sz w:val="24"/>
          <w:szCs w:val="24"/>
          <w:lang w:val="hr-BA"/>
        </w:rPr>
        <w:t>.</w:t>
      </w:r>
      <w:r>
        <w:rPr>
          <w:rFonts w:ascii="Times New Roman" w:hAnsi="Times New Roman" w:cs="Times New Roman"/>
          <w:sz w:val="24"/>
          <w:szCs w:val="24"/>
          <w:shd w:val="clear" w:color="auto" w:fill="FFFFFF"/>
        </w:rPr>
        <w:t>Sarajevo</w:t>
      </w:r>
      <w:proofErr w:type="gram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Pravni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fakultet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Univeziteta</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Sarajevu</w:t>
      </w:r>
      <w:proofErr w:type="spellEnd"/>
      <w:r>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w:t>
      </w:r>
    </w:p>
    <w:p>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Mallory, S. (2012). </w:t>
      </w:r>
      <w:r>
        <w:rPr>
          <w:rFonts w:ascii="Times New Roman" w:hAnsi="Times New Roman" w:cs="Times New Roman"/>
          <w:i/>
          <w:sz w:val="24"/>
          <w:szCs w:val="24"/>
        </w:rPr>
        <w:t>Understanding Organized Crime</w:t>
      </w:r>
      <w:r>
        <w:rPr>
          <w:rFonts w:ascii="Times New Roman" w:hAnsi="Times New Roman" w:cs="Times New Roman"/>
          <w:sz w:val="24"/>
          <w:szCs w:val="24"/>
        </w:rPr>
        <w:t>. Sudbury, MA: Jones &amp; Bartlett.</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eastAsia="Times New Roman" w:hAnsi="Times New Roman" w:cs="Times New Roman"/>
          <w:sz w:val="24"/>
          <w:szCs w:val="24"/>
          <w:lang w:val="sr-Latn-BA" w:eastAsia="en-GB"/>
        </w:rPr>
        <w:t xml:space="preserve">Maljević, A. (2020). </w:t>
      </w:r>
      <w:proofErr w:type="spellStart"/>
      <w:r>
        <w:rPr>
          <w:rFonts w:ascii="Times New Roman" w:hAnsi="Times New Roman" w:cs="Times New Roman"/>
          <w:sz w:val="24"/>
          <w:szCs w:val="24"/>
        </w:rPr>
        <w:t>Organizovani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kriminal</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Bosni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Hercegovini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između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prakse</w:t>
      </w:r>
      <w:proofErr w:type="spellEnd"/>
      <w:r>
        <w:rPr>
          <w:rFonts w:ascii="Times New Roman" w:hAnsi="Times New Roman" w:cs="Times New Roman"/>
          <w:sz w:val="24"/>
          <w:szCs w:val="24"/>
        </w:rPr>
        <w:t xml:space="preserve"> </w:t>
      </w:r>
      <w:r>
        <w:rPr>
          <w:rFonts w:ascii="Times New Roman" w:hAnsi="Times New Roman" w:cs="Times New Roman"/>
          <w:sz w:val="24"/>
          <w:szCs w:val="24"/>
          <w:lang w:val="sr-Latn-RS"/>
        </w:rPr>
        <w:t>[</w:t>
      </w:r>
      <w:r>
        <w:rPr>
          <w:rFonts w:ascii="Times New Roman" w:hAnsi="Times New Roman" w:cs="Times New Roman"/>
          <w:sz w:val="24"/>
          <w:szCs w:val="24"/>
        </w:rPr>
        <w:t>Organized crime in Bosnia and Herzegovina – between theory and practice</w:t>
      </w:r>
      <w:r>
        <w:rPr>
          <w:rFonts w:ascii="Times New Roman" w:hAnsi="Times New Roman" w:cs="Times New Roman"/>
          <w:sz w:val="24"/>
          <w:szCs w:val="24"/>
          <w:lang w:val="sr-Latn-RS"/>
        </w:rPr>
        <w:t xml:space="preserve">]. </w:t>
      </w:r>
      <w:proofErr w:type="spellStart"/>
      <w:r>
        <w:rPr>
          <w:rFonts w:ascii="Times New Roman" w:hAnsi="Times New Roman" w:cs="Times New Roman"/>
          <w:i/>
          <w:sz w:val="24"/>
          <w:szCs w:val="24"/>
        </w:rPr>
        <w:t>Pravna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misao</w:t>
      </w:r>
      <w:proofErr w:type="spellEnd"/>
      <w:r>
        <w:rPr>
          <w:rFonts w:ascii="Times New Roman" w:hAnsi="Times New Roman" w:cs="Times New Roman"/>
          <w:i/>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7-8/2020</w:t>
      </w:r>
      <w:r>
        <w:rPr>
          <w:rFonts w:ascii="Times New Roman" w:hAnsi="Times New Roman" w:cs="Times New Roman"/>
          <w:sz w:val="24"/>
          <w:szCs w:val="24"/>
        </w:rPr>
        <w:t>, 7</w:t>
      </w:r>
      <w:r>
        <w:rPr>
          <w:rFonts w:ascii="Times New Roman" w:hAnsi="Times New Roman" w:cs="Times New Roman"/>
          <w:sz w:val="24"/>
          <w:szCs w:val="24"/>
          <w:lang w:val="sr-Latn-BA"/>
        </w:rPr>
        <w:t>–</w:t>
      </w:r>
      <w:r>
        <w:rPr>
          <w:rFonts w:ascii="Times New Roman" w:hAnsi="Times New Roman" w:cs="Times New Roman"/>
          <w:sz w:val="24"/>
          <w:szCs w:val="24"/>
        </w:rPr>
        <w:t>26.</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eastAsia="Times New Roman" w:hAnsi="Times New Roman" w:cs="Times New Roman"/>
          <w:sz w:val="24"/>
          <w:szCs w:val="24"/>
          <w:lang w:val="sr-Latn-BA" w:eastAsia="en-GB"/>
        </w:rPr>
        <w:t>Marković, M. (2008). Organizirani kriminal u presudama Suda Bosne i Hercegovine</w:t>
      </w:r>
      <w:r>
        <w:rPr>
          <w:rFonts w:ascii="Times New Roman" w:hAnsi="Times New Roman" w:cs="Times New Roman"/>
          <w:sz w:val="24"/>
          <w:szCs w:val="24"/>
        </w:rPr>
        <w:t xml:space="preserve"> (u 2006.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2007. </w:t>
      </w:r>
      <w:proofErr w:type="spellStart"/>
      <w:r>
        <w:rPr>
          <w:rFonts w:ascii="Times New Roman" w:hAnsi="Times New Roman" w:cs="Times New Roman"/>
          <w:sz w:val="24"/>
          <w:szCs w:val="24"/>
        </w:rPr>
        <w:t>godini</w:t>
      </w:r>
      <w:proofErr w:type="spellEnd"/>
      <w:r>
        <w:rPr>
          <w:rFonts w:ascii="Times New Roman" w:hAnsi="Times New Roman" w:cs="Times New Roman"/>
          <w:sz w:val="24"/>
          <w:szCs w:val="24"/>
        </w:rPr>
        <w:t>)</w:t>
      </w:r>
      <w:r>
        <w:rPr>
          <w:rFonts w:ascii="Times New Roman" w:hAnsi="Times New Roman" w:cs="Times New Roman"/>
          <w:sz w:val="24"/>
          <w:szCs w:val="24"/>
          <w:lang w:val="sr-Latn-RS"/>
        </w:rPr>
        <w:t xml:space="preserve"> [</w:t>
      </w:r>
      <w:r>
        <w:rPr>
          <w:rFonts w:ascii="Times New Roman" w:eastAsia="Times New Roman" w:hAnsi="Times New Roman" w:cs="Times New Roman"/>
          <w:sz w:val="24"/>
          <w:szCs w:val="24"/>
          <w:lang w:val="sr-Latn-BA" w:eastAsia="en-GB"/>
        </w:rPr>
        <w:t>Organized crime in the judgments of the Court of Bosnia and Herzegovina (in 2006 and 2007)</w:t>
      </w:r>
      <w:r>
        <w:rPr>
          <w:rFonts w:ascii="Times New Roman" w:hAnsi="Times New Roman" w:cs="Times New Roman"/>
          <w:sz w:val="24"/>
          <w:szCs w:val="24"/>
          <w:lang w:val="sr-Latn-RS"/>
        </w:rPr>
        <w:t>].</w:t>
      </w:r>
      <w:r>
        <w:rPr>
          <w:rFonts w:ascii="Times New Roman" w:hAnsi="Times New Roman" w:cs="Times New Roman"/>
          <w:sz w:val="24"/>
          <w:szCs w:val="24"/>
        </w:rPr>
        <w:t xml:space="preserve"> </w:t>
      </w:r>
      <w:proofErr w:type="spellStart"/>
      <w:r>
        <w:rPr>
          <w:rFonts w:ascii="Times New Roman" w:hAnsi="Times New Roman" w:cs="Times New Roman"/>
          <w:i/>
          <w:sz w:val="24"/>
          <w:szCs w:val="24"/>
        </w:rPr>
        <w:t>Pravo</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pravda</w:t>
      </w:r>
      <w:proofErr w:type="spellEnd"/>
      <w:r>
        <w:rPr>
          <w:rFonts w:ascii="Times New Roman" w:hAnsi="Times New Roman" w:cs="Times New Roman"/>
          <w:sz w:val="24"/>
          <w:szCs w:val="24"/>
        </w:rPr>
        <w:t xml:space="preserve">, </w:t>
      </w:r>
      <w:r>
        <w:rPr>
          <w:rFonts w:ascii="Times New Roman" w:hAnsi="Times New Roman" w:cs="Times New Roman"/>
          <w:i/>
          <w:sz w:val="24"/>
          <w:szCs w:val="24"/>
        </w:rPr>
        <w:t>1</w:t>
      </w:r>
      <w:r>
        <w:rPr>
          <w:rFonts w:ascii="Times New Roman" w:hAnsi="Times New Roman" w:cs="Times New Roman"/>
          <w:sz w:val="24"/>
          <w:szCs w:val="24"/>
        </w:rPr>
        <w:t>, 339</w:t>
      </w:r>
      <w:r>
        <w:rPr>
          <w:rFonts w:ascii="Times New Roman" w:hAnsi="Times New Roman" w:cs="Times New Roman"/>
          <w:sz w:val="24"/>
          <w:szCs w:val="24"/>
          <w:lang w:val="sr-Latn-BA"/>
        </w:rPr>
        <w:t>–</w:t>
      </w:r>
      <w:r>
        <w:rPr>
          <w:rFonts w:ascii="Times New Roman" w:hAnsi="Times New Roman" w:cs="Times New Roman"/>
          <w:sz w:val="24"/>
          <w:szCs w:val="24"/>
        </w:rPr>
        <w:t>351.</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eastAsia="Times New Roman" w:hAnsi="Times New Roman" w:cs="Times New Roman"/>
          <w:sz w:val="24"/>
          <w:szCs w:val="24"/>
          <w:lang w:val="sr-Latn-BA" w:eastAsia="en-GB"/>
        </w:rPr>
        <w:t xml:space="preserve">Marinković, D. (2010). </w:t>
      </w:r>
      <w:r>
        <w:rPr>
          <w:rFonts w:ascii="Times New Roman" w:eastAsia="Times New Roman" w:hAnsi="Times New Roman" w:cs="Times New Roman"/>
          <w:i/>
          <w:sz w:val="24"/>
          <w:szCs w:val="24"/>
          <w:lang w:val="sr-Latn-BA" w:eastAsia="en-GB"/>
        </w:rPr>
        <w:t>Suzbijanje organizovanog kriminaliteta</w:t>
      </w:r>
      <w:r>
        <w:rPr>
          <w:rFonts w:ascii="Times New Roman" w:eastAsia="Times New Roman" w:hAnsi="Times New Roman" w:cs="Times New Roman"/>
          <w:sz w:val="24"/>
          <w:szCs w:val="24"/>
          <w:lang w:val="sr-Latn-BA" w:eastAsia="en-GB"/>
        </w:rPr>
        <w:t xml:space="preserve">  </w:t>
      </w:r>
      <w:r>
        <w:rPr>
          <w:rFonts w:ascii="Times New Roman" w:hAnsi="Times New Roman" w:cs="Times New Roman"/>
          <w:sz w:val="24"/>
          <w:szCs w:val="24"/>
          <w:lang w:val="sr-Latn-RS"/>
        </w:rPr>
        <w:t>[</w:t>
      </w:r>
      <w:r>
        <w:rPr>
          <w:rFonts w:ascii="Times New Roman" w:eastAsia="Times New Roman" w:hAnsi="Times New Roman" w:cs="Times New Roman"/>
          <w:i/>
          <w:sz w:val="24"/>
          <w:szCs w:val="24"/>
          <w:lang w:val="sr-Latn-BA" w:eastAsia="en-GB"/>
        </w:rPr>
        <w:t>Suppression of organized crime</w:t>
      </w:r>
      <w:r>
        <w:rPr>
          <w:rFonts w:ascii="Times New Roman" w:hAnsi="Times New Roman" w:cs="Times New Roman"/>
          <w:sz w:val="24"/>
          <w:szCs w:val="24"/>
          <w:lang w:val="sr-Latn-RS"/>
        </w:rPr>
        <w:t xml:space="preserve">]. </w:t>
      </w:r>
      <w:r>
        <w:rPr>
          <w:rFonts w:ascii="Times New Roman" w:eastAsia="Times New Roman" w:hAnsi="Times New Roman" w:cs="Times New Roman"/>
          <w:sz w:val="24"/>
          <w:szCs w:val="24"/>
          <w:lang w:val="sr-Latn-BA" w:eastAsia="en-GB"/>
        </w:rPr>
        <w:t>Beograd: Prometej.</w:t>
      </w:r>
    </w:p>
    <w:p>
      <w:pPr>
        <w:pStyle w:val="ListParagraph"/>
        <w:numPr>
          <w:ilvl w:val="0"/>
          <w:numId w:val="2"/>
        </w:numPr>
        <w:shd w:val="clear" w:color="auto" w:fill="FFFFFF"/>
        <w:rPr>
          <w:rFonts w:ascii="Times New Roman" w:eastAsia="Times New Roman" w:hAnsi="Times New Roman" w:cs="Times New Roman"/>
          <w:sz w:val="24"/>
          <w:szCs w:val="24"/>
          <w:lang w:val="sr-Latn-BA" w:eastAsia="en-GB"/>
        </w:rPr>
      </w:pPr>
      <w:r>
        <w:rPr>
          <w:rFonts w:ascii="Times New Roman" w:eastAsia="Times New Roman" w:hAnsi="Times New Roman" w:cs="Times New Roman"/>
          <w:sz w:val="24"/>
          <w:szCs w:val="24"/>
          <w:lang w:val="sr-Latn-BA" w:eastAsia="en-GB"/>
        </w:rPr>
        <w:t xml:space="preserve">Ministarstvo bezbjednosti BiH. (2018). </w:t>
      </w:r>
      <w:r>
        <w:rPr>
          <w:rFonts w:ascii="Times New Roman" w:eastAsia="Times New Roman" w:hAnsi="Times New Roman" w:cs="Times New Roman"/>
          <w:i/>
          <w:sz w:val="24"/>
          <w:szCs w:val="24"/>
          <w:lang w:val="sr-Latn-BA" w:eastAsia="en-GB"/>
        </w:rPr>
        <w:t xml:space="preserve">Informacija o stanju sigurnosti u Bosni i Hercegovini u 2017. godini </w:t>
      </w:r>
      <w:r>
        <w:rPr>
          <w:rFonts w:ascii="Times New Roman" w:hAnsi="Times New Roman" w:cs="Times New Roman"/>
          <w:sz w:val="24"/>
          <w:szCs w:val="24"/>
          <w:lang w:val="sr-Latn-RS"/>
        </w:rPr>
        <w:t>[</w:t>
      </w:r>
      <w:r>
        <w:rPr>
          <w:rFonts w:ascii="Times New Roman" w:eastAsia="Times New Roman" w:hAnsi="Times New Roman" w:cs="Times New Roman"/>
          <w:i/>
          <w:sz w:val="24"/>
          <w:szCs w:val="24"/>
          <w:lang w:val="sr-Latn-BA" w:eastAsia="en-GB"/>
        </w:rPr>
        <w:t>Information on the security situation in Bosnia and Herzegovina in 2017</w:t>
      </w:r>
      <w:r>
        <w:rPr>
          <w:rFonts w:ascii="Times New Roman" w:hAnsi="Times New Roman" w:cs="Times New Roman"/>
          <w:sz w:val="24"/>
          <w:szCs w:val="24"/>
          <w:lang w:val="sr-Latn-RS"/>
        </w:rPr>
        <w:t>]</w:t>
      </w:r>
      <w:r>
        <w:rPr>
          <w:rFonts w:ascii="Times New Roman" w:eastAsia="Times New Roman" w:hAnsi="Times New Roman" w:cs="Times New Roman"/>
          <w:i/>
          <w:sz w:val="24"/>
          <w:szCs w:val="24"/>
          <w:lang w:val="sr-Latn-BA" w:eastAsia="en-GB"/>
        </w:rPr>
        <w:t>.</w:t>
      </w:r>
      <w:r>
        <w:rPr>
          <w:rFonts w:ascii="Times New Roman" w:eastAsia="Times New Roman" w:hAnsi="Times New Roman" w:cs="Times New Roman"/>
          <w:sz w:val="24"/>
          <w:szCs w:val="24"/>
          <w:lang w:val="sr-Latn-BA" w:eastAsia="en-GB"/>
        </w:rPr>
        <w:t xml:space="preserve"> Sarajevo: Ministarstvo bezbjednosti BiH. </w:t>
      </w:r>
    </w:p>
    <w:p>
      <w:pPr>
        <w:pStyle w:val="FootnoteText"/>
        <w:numPr>
          <w:ilvl w:val="0"/>
          <w:numId w:val="2"/>
        </w:numPr>
        <w:rPr>
          <w:rFonts w:ascii="Times New Roman" w:hAnsi="Times New Roman" w:cs="Times New Roman"/>
          <w:sz w:val="24"/>
          <w:szCs w:val="24"/>
          <w:lang w:val="sr-Latn-RS"/>
        </w:rPr>
      </w:pPr>
      <w:proofErr w:type="spellStart"/>
      <w:r>
        <w:rPr>
          <w:rFonts w:ascii="Times New Roman" w:hAnsi="Times New Roman" w:cs="Times New Roman"/>
          <w:sz w:val="24"/>
          <w:szCs w:val="24"/>
        </w:rPr>
        <w:t>Muehlmann</w:t>
      </w:r>
      <w:proofErr w:type="spellEnd"/>
      <w:r>
        <w:rPr>
          <w:rFonts w:ascii="Times New Roman" w:hAnsi="Times New Roman" w:cs="Times New Roman"/>
          <w:sz w:val="24"/>
          <w:szCs w:val="24"/>
        </w:rPr>
        <w:t xml:space="preserve">, T. (2008). EU Civil–Military Cooperation and the Fight against </w:t>
      </w:r>
      <w:proofErr w:type="spellStart"/>
      <w:r>
        <w:rPr>
          <w:rFonts w:ascii="Times New Roman" w:hAnsi="Times New Roman" w:cs="Times New Roman"/>
          <w:sz w:val="24"/>
          <w:szCs w:val="24"/>
        </w:rPr>
        <w:t>Organised</w:t>
      </w:r>
      <w:proofErr w:type="spellEnd"/>
      <w:r>
        <w:rPr>
          <w:rFonts w:ascii="Times New Roman" w:hAnsi="Times New Roman" w:cs="Times New Roman"/>
          <w:sz w:val="24"/>
          <w:szCs w:val="24"/>
        </w:rPr>
        <w:t xml:space="preserve"> Crime: Lessons to be Learned from the Bosnian Example. </w:t>
      </w:r>
      <w:r>
        <w:rPr>
          <w:rFonts w:ascii="Times New Roman" w:hAnsi="Times New Roman" w:cs="Times New Roman"/>
          <w:i/>
          <w:sz w:val="24"/>
          <w:szCs w:val="24"/>
        </w:rPr>
        <w:t>European Security</w:t>
      </w:r>
      <w:r>
        <w:rPr>
          <w:rFonts w:ascii="Times New Roman" w:hAnsi="Times New Roman" w:cs="Times New Roman"/>
          <w:sz w:val="24"/>
          <w:szCs w:val="24"/>
        </w:rPr>
        <w:t xml:space="preserve">, </w:t>
      </w:r>
      <w:r>
        <w:rPr>
          <w:rFonts w:ascii="Times New Roman" w:hAnsi="Times New Roman" w:cs="Times New Roman"/>
          <w:i/>
          <w:sz w:val="24"/>
          <w:szCs w:val="24"/>
        </w:rPr>
        <w:t>17</w:t>
      </w:r>
      <w:r>
        <w:rPr>
          <w:rFonts w:ascii="Times New Roman" w:hAnsi="Times New Roman" w:cs="Times New Roman"/>
          <w:sz w:val="24"/>
          <w:szCs w:val="24"/>
        </w:rPr>
        <w:t>(2-3), 387</w:t>
      </w:r>
      <w:r>
        <w:rPr>
          <w:rFonts w:ascii="Times New Roman" w:hAnsi="Times New Roman" w:cs="Times New Roman"/>
          <w:sz w:val="24"/>
          <w:szCs w:val="24"/>
          <w:lang w:val="sr-Latn-BA"/>
        </w:rPr>
        <w:t>–</w:t>
      </w:r>
      <w:r>
        <w:rPr>
          <w:rFonts w:ascii="Times New Roman" w:hAnsi="Times New Roman" w:cs="Times New Roman"/>
          <w:sz w:val="24"/>
          <w:szCs w:val="24"/>
        </w:rPr>
        <w:t>413.</w:t>
      </w:r>
    </w:p>
    <w:p>
      <w:pPr>
        <w:pStyle w:val="FootnoteText"/>
        <w:numPr>
          <w:ilvl w:val="0"/>
          <w:numId w:val="2"/>
        </w:numPr>
        <w:rPr>
          <w:rFonts w:ascii="Times New Roman" w:hAnsi="Times New Roman" w:cs="Times New Roman"/>
          <w:sz w:val="24"/>
          <w:szCs w:val="24"/>
          <w:lang w:val="sr-Latn-RS"/>
        </w:rPr>
      </w:pPr>
      <w:r>
        <w:rPr>
          <w:rFonts w:ascii="Times New Roman" w:hAnsi="Times New Roman" w:cs="Times New Roman"/>
          <w:sz w:val="24"/>
          <w:szCs w:val="24"/>
          <w:lang w:val="sr-Latn-RS"/>
        </w:rPr>
        <w:t xml:space="preserve">Savjet ministara BiH. (2017). </w:t>
      </w:r>
      <w:r>
        <w:rPr>
          <w:rFonts w:ascii="Times New Roman" w:hAnsi="Times New Roman" w:cs="Times New Roman"/>
          <w:i/>
          <w:sz w:val="24"/>
          <w:szCs w:val="24"/>
          <w:lang w:val="sr-Latn-RS"/>
        </w:rPr>
        <w:t>Strategija za borbu protiv organizovanog kriminala u Bosni i Hercegovini (za period 2017. – 2020. godine)</w:t>
      </w:r>
      <w:r>
        <w:rPr>
          <w:rFonts w:ascii="Times New Roman" w:hAnsi="Times New Roman" w:cs="Times New Roman"/>
          <w:sz w:val="24"/>
          <w:szCs w:val="24"/>
          <w:lang w:val="sr-Latn-RS"/>
        </w:rPr>
        <w:t xml:space="preserve"> [</w:t>
      </w:r>
      <w:r>
        <w:rPr>
          <w:rFonts w:ascii="Times New Roman" w:hAnsi="Times New Roman" w:cs="Times New Roman"/>
          <w:i/>
          <w:sz w:val="24"/>
          <w:szCs w:val="24"/>
          <w:lang w:val="sr-Latn-RS"/>
        </w:rPr>
        <w:t>Strategy for the Fight against Organized Crime in Bosnia and Herzegovina (for the period 2017-2020)</w:t>
      </w:r>
      <w:r>
        <w:rPr>
          <w:rFonts w:ascii="Times New Roman" w:hAnsi="Times New Roman" w:cs="Times New Roman"/>
          <w:sz w:val="24"/>
          <w:szCs w:val="24"/>
          <w:lang w:val="sr-Latn-RS"/>
        </w:rPr>
        <w:t>]</w:t>
      </w:r>
      <w:r>
        <w:rPr>
          <w:rFonts w:ascii="Times New Roman" w:hAnsi="Times New Roman" w:cs="Times New Roman"/>
          <w:i/>
          <w:sz w:val="24"/>
          <w:szCs w:val="24"/>
          <w:lang w:val="sr-Latn-RS"/>
        </w:rPr>
        <w:t xml:space="preserve">. </w:t>
      </w:r>
      <w:r>
        <w:rPr>
          <w:rFonts w:ascii="Times New Roman" w:hAnsi="Times New Roman" w:cs="Times New Roman"/>
          <w:sz w:val="24"/>
          <w:szCs w:val="24"/>
          <w:lang w:val="sr-Latn-RS"/>
        </w:rPr>
        <w:t xml:space="preserve">Sarajevo: Savjet ministara BiH. </w:t>
      </w:r>
    </w:p>
    <w:p>
      <w:pPr>
        <w:pStyle w:val="ListParagraph"/>
        <w:numPr>
          <w:ilvl w:val="0"/>
          <w:numId w:val="2"/>
        </w:numPr>
        <w:rPr>
          <w:rFonts w:ascii="Times New Roman" w:hAnsi="Times New Roman" w:cs="Times New Roman"/>
          <w:sz w:val="24"/>
          <w:szCs w:val="24"/>
        </w:rPr>
      </w:pPr>
      <w:proofErr w:type="spellStart"/>
      <w:r>
        <w:rPr>
          <w:rFonts w:ascii="Times New Roman" w:hAnsi="Times New Roman" w:cs="Times New Roman"/>
          <w:sz w:val="24"/>
          <w:szCs w:val="24"/>
        </w:rPr>
        <w:t>Savjet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Ministara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BiH</w:t>
      </w:r>
      <w:proofErr w:type="spellEnd"/>
      <w:r>
        <w:rPr>
          <w:rFonts w:ascii="Times New Roman" w:hAnsi="Times New Roman" w:cs="Times New Roman"/>
          <w:sz w:val="24"/>
          <w:szCs w:val="24"/>
        </w:rPr>
        <w:t xml:space="preserve">. (2016). </w:t>
      </w:r>
      <w:r>
        <w:rPr>
          <w:rFonts w:ascii="Times New Roman" w:hAnsi="Times New Roman" w:cs="Times New Roman"/>
          <w:i/>
          <w:sz w:val="24"/>
          <w:szCs w:val="24"/>
          <w:lang w:val="sr-Latn-RS"/>
        </w:rPr>
        <w:t xml:space="preserve">Procjena prijetnje od organizovanog kriminaliteta u Bosni i Hercegovini </w:t>
      </w:r>
      <w:r>
        <w:rPr>
          <w:rFonts w:ascii="Times New Roman" w:hAnsi="Times New Roman" w:cs="Times New Roman"/>
          <w:sz w:val="24"/>
          <w:szCs w:val="24"/>
          <w:lang w:val="sr-Latn-RS"/>
        </w:rPr>
        <w:t>[</w:t>
      </w:r>
      <w:r>
        <w:rPr>
          <w:rFonts w:ascii="Times New Roman" w:hAnsi="Times New Roman" w:cs="Times New Roman"/>
          <w:i/>
          <w:sz w:val="24"/>
          <w:szCs w:val="24"/>
          <w:lang w:val="sr-Latn-RS"/>
        </w:rPr>
        <w:t>Organized crime threat assessment in Bosnia i Herzegovina</w:t>
      </w:r>
      <w:r>
        <w:rPr>
          <w:rFonts w:ascii="Times New Roman" w:hAnsi="Times New Roman" w:cs="Times New Roman"/>
          <w:sz w:val="24"/>
          <w:szCs w:val="24"/>
          <w:lang w:val="sr-Latn-RS"/>
        </w:rPr>
        <w:t xml:space="preserve">].  Sarajevo: Savjet ministara BiH. </w:t>
      </w:r>
    </w:p>
    <w:p>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 xml:space="preserve">Simović, M., &amp; </w:t>
      </w:r>
      <w:proofErr w:type="spellStart"/>
      <w:r>
        <w:rPr>
          <w:rFonts w:ascii="Times New Roman" w:hAnsi="Times New Roman" w:cs="Times New Roman"/>
          <w:sz w:val="24"/>
          <w:szCs w:val="24"/>
        </w:rPr>
        <w:t>Šikman</w:t>
      </w:r>
      <w:proofErr w:type="spellEnd"/>
      <w:r>
        <w:rPr>
          <w:rFonts w:ascii="Times New Roman" w:hAnsi="Times New Roman" w:cs="Times New Roman"/>
          <w:sz w:val="24"/>
          <w:szCs w:val="24"/>
        </w:rPr>
        <w:t xml:space="preserve">, M. (2019). Adequacy of Penal Policy in Criminal Cases of Organized Crime. </w:t>
      </w:r>
      <w:proofErr w:type="spellStart"/>
      <w:r>
        <w:rPr>
          <w:rFonts w:ascii="Times New Roman" w:hAnsi="Times New Roman" w:cs="Times New Roman"/>
          <w:i/>
          <w:sz w:val="24"/>
          <w:szCs w:val="24"/>
        </w:rPr>
        <w:t>Teme</w:t>
      </w:r>
      <w:proofErr w:type="spellEnd"/>
      <w:r>
        <w:rPr>
          <w:rFonts w:ascii="Times New Roman" w:hAnsi="Times New Roman" w:cs="Times New Roman"/>
          <w:sz w:val="24"/>
          <w:szCs w:val="24"/>
        </w:rPr>
        <w:t xml:space="preserve">, </w:t>
      </w:r>
      <w:r>
        <w:rPr>
          <w:rFonts w:ascii="Times New Roman" w:hAnsi="Times New Roman" w:cs="Times New Roman"/>
          <w:i/>
          <w:sz w:val="24"/>
          <w:szCs w:val="24"/>
        </w:rPr>
        <w:t>43</w:t>
      </w:r>
      <w:r>
        <w:rPr>
          <w:rFonts w:ascii="Times New Roman" w:hAnsi="Times New Roman" w:cs="Times New Roman"/>
          <w:sz w:val="24"/>
          <w:szCs w:val="24"/>
        </w:rPr>
        <w:t>(4), 931</w:t>
      </w:r>
      <w:r>
        <w:rPr>
          <w:rFonts w:ascii="Times New Roman" w:hAnsi="Times New Roman" w:cs="Times New Roman"/>
          <w:sz w:val="24"/>
          <w:szCs w:val="24"/>
          <w:lang w:val="sr-Latn-BA"/>
        </w:rPr>
        <w:t>–</w:t>
      </w:r>
      <w:r>
        <w:rPr>
          <w:rFonts w:ascii="Times New Roman" w:hAnsi="Times New Roman" w:cs="Times New Roman"/>
          <w:sz w:val="24"/>
          <w:szCs w:val="24"/>
        </w:rPr>
        <w:t>956.</w:t>
      </w:r>
    </w:p>
    <w:p>
      <w:pPr>
        <w:pStyle w:val="ListParagraph"/>
        <w:numPr>
          <w:ilvl w:val="0"/>
          <w:numId w:val="2"/>
        </w:numPr>
        <w:rPr>
          <w:rFonts w:ascii="Times New Roman" w:hAnsi="Times New Roman" w:cs="Times New Roman"/>
          <w:sz w:val="24"/>
          <w:szCs w:val="24"/>
        </w:rPr>
      </w:pPr>
      <w:proofErr w:type="spellStart"/>
      <w:r>
        <w:rPr>
          <w:rFonts w:ascii="Times New Roman" w:hAnsi="Times New Roman" w:cs="Times New Roman"/>
          <w:sz w:val="24"/>
          <w:szCs w:val="24"/>
        </w:rPr>
        <w:t>Smajić</w:t>
      </w:r>
      <w:proofErr w:type="spellEnd"/>
      <w:r>
        <w:rPr>
          <w:rFonts w:ascii="Times New Roman" w:hAnsi="Times New Roman" w:cs="Times New Roman"/>
          <w:sz w:val="24"/>
          <w:szCs w:val="24"/>
        </w:rPr>
        <w:t xml:space="preserve">, M. (2010). </w:t>
      </w:r>
      <w:proofErr w:type="spellStart"/>
      <w:r>
        <w:rPr>
          <w:rFonts w:ascii="Times New Roman" w:hAnsi="Times New Roman" w:cs="Times New Roman"/>
          <w:sz w:val="24"/>
          <w:szCs w:val="24"/>
        </w:rPr>
        <w:t>Organizovani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kriminal</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Bosni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Hercegovini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Tranzicijske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dileme</w:t>
      </w:r>
      <w:proofErr w:type="spellEnd"/>
      <w:r>
        <w:rPr>
          <w:rFonts w:ascii="Times New Roman" w:hAnsi="Times New Roman" w:cs="Times New Roman"/>
          <w:sz w:val="24"/>
          <w:szCs w:val="24"/>
        </w:rPr>
        <w:t xml:space="preserve"> </w:t>
      </w:r>
      <w:r>
        <w:rPr>
          <w:rFonts w:ascii="Times New Roman" w:hAnsi="Times New Roman" w:cs="Times New Roman"/>
          <w:sz w:val="24"/>
          <w:szCs w:val="24"/>
          <w:lang w:val="sr-Latn-RS"/>
        </w:rPr>
        <w:t>[</w:t>
      </w:r>
      <w:r>
        <w:rPr>
          <w:rFonts w:ascii="Times New Roman" w:hAnsi="Times New Roman" w:cs="Times New Roman"/>
          <w:sz w:val="24"/>
          <w:szCs w:val="24"/>
          <w:lang w:val="sr-Cyrl-BA"/>
        </w:rPr>
        <w:t>Organized crime in Bosnia and Herzegovina –  Transitional dilemmas</w:t>
      </w:r>
      <w:r>
        <w:rPr>
          <w:rFonts w:ascii="Times New Roman" w:hAnsi="Times New Roman" w:cs="Times New Roman"/>
          <w:sz w:val="24"/>
          <w:szCs w:val="24"/>
          <w:lang w:val="sr-Latn-RS"/>
        </w:rPr>
        <w:t xml:space="preserve">]. </w:t>
      </w:r>
      <w:proofErr w:type="spellStart"/>
      <w:r>
        <w:rPr>
          <w:rFonts w:ascii="Times New Roman" w:hAnsi="Times New Roman" w:cs="Times New Roman"/>
          <w:i/>
          <w:sz w:val="24"/>
          <w:szCs w:val="24"/>
        </w:rPr>
        <w:t>Pregled</w:t>
      </w:r>
      <w:proofErr w:type="spellEnd"/>
      <w:r>
        <w:rPr>
          <w:rFonts w:ascii="Times New Roman" w:hAnsi="Times New Roman" w:cs="Times New Roman"/>
          <w:sz w:val="24"/>
          <w:szCs w:val="24"/>
        </w:rPr>
        <w:t xml:space="preserve">, </w:t>
      </w:r>
      <w:r>
        <w:rPr>
          <w:rFonts w:ascii="Times New Roman" w:hAnsi="Times New Roman" w:cs="Times New Roman"/>
          <w:i/>
          <w:sz w:val="24"/>
          <w:szCs w:val="24"/>
        </w:rPr>
        <w:t>2/2010</w:t>
      </w:r>
      <w:r>
        <w:rPr>
          <w:rFonts w:ascii="Times New Roman" w:hAnsi="Times New Roman" w:cs="Times New Roman"/>
          <w:sz w:val="24"/>
          <w:szCs w:val="24"/>
        </w:rPr>
        <w:t>, 203</w:t>
      </w:r>
      <w:r>
        <w:rPr>
          <w:rFonts w:ascii="Times New Roman" w:hAnsi="Times New Roman" w:cs="Times New Roman"/>
          <w:sz w:val="24"/>
          <w:szCs w:val="24"/>
          <w:lang w:val="sr-Latn-BA"/>
        </w:rPr>
        <w:t>–</w:t>
      </w:r>
      <w:r>
        <w:rPr>
          <w:rFonts w:ascii="Times New Roman" w:hAnsi="Times New Roman" w:cs="Times New Roman"/>
          <w:sz w:val="24"/>
          <w:szCs w:val="24"/>
        </w:rPr>
        <w:t>225.</w:t>
      </w:r>
    </w:p>
    <w:p>
      <w:pPr>
        <w:pStyle w:val="ListParagraph"/>
        <w:numPr>
          <w:ilvl w:val="0"/>
          <w:numId w:val="2"/>
        </w:numPr>
        <w:rPr>
          <w:rFonts w:ascii="Times New Roman" w:hAnsi="Times New Roman" w:cs="Times New Roman"/>
          <w:bCs/>
          <w:sz w:val="24"/>
          <w:szCs w:val="24"/>
        </w:rPr>
      </w:pPr>
      <w:proofErr w:type="spellStart"/>
      <w:r>
        <w:rPr>
          <w:rFonts w:ascii="Times New Roman" w:hAnsi="Times New Roman" w:cs="Times New Roman"/>
          <w:bCs/>
          <w:sz w:val="24"/>
          <w:szCs w:val="24"/>
        </w:rPr>
        <w:t>Sud</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BiH</w:t>
      </w:r>
      <w:proofErr w:type="spellEnd"/>
      <w:r>
        <w:rPr>
          <w:rFonts w:ascii="Times New Roman" w:hAnsi="Times New Roman" w:cs="Times New Roman"/>
          <w:bCs/>
          <w:sz w:val="24"/>
          <w:szCs w:val="24"/>
        </w:rPr>
        <w:t>, (</w:t>
      </w:r>
      <w:proofErr w:type="spellStart"/>
      <w:r>
        <w:rPr>
          <w:rFonts w:ascii="Times New Roman" w:hAnsi="Times New Roman" w:cs="Times New Roman"/>
          <w:bCs/>
          <w:sz w:val="24"/>
          <w:szCs w:val="24"/>
        </w:rPr>
        <w:t>n.d.</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i/>
          <w:sz w:val="24"/>
          <w:szCs w:val="24"/>
        </w:rPr>
        <w:t>Sudska</w:t>
      </w:r>
      <w:proofErr w:type="spellEnd"/>
      <w:r>
        <w:rPr>
          <w:rFonts w:ascii="Times New Roman" w:hAnsi="Times New Roman" w:cs="Times New Roman"/>
          <w:bCs/>
          <w:i/>
          <w:sz w:val="24"/>
          <w:szCs w:val="24"/>
        </w:rPr>
        <w:t xml:space="preserve"> </w:t>
      </w:r>
      <w:proofErr w:type="spellStart"/>
      <w:r>
        <w:rPr>
          <w:rFonts w:ascii="Times New Roman" w:hAnsi="Times New Roman" w:cs="Times New Roman"/>
          <w:bCs/>
          <w:i/>
          <w:sz w:val="24"/>
          <w:szCs w:val="24"/>
        </w:rPr>
        <w:t>praksa</w:t>
      </w:r>
      <w:proofErr w:type="spellEnd"/>
      <w:r>
        <w:rPr>
          <w:rFonts w:ascii="Times New Roman" w:hAnsi="Times New Roman" w:cs="Times New Roman"/>
          <w:bCs/>
          <w:i/>
          <w:sz w:val="24"/>
          <w:szCs w:val="24"/>
        </w:rPr>
        <w:t xml:space="preserve"> </w:t>
      </w:r>
      <w:proofErr w:type="spellStart"/>
      <w:r>
        <w:rPr>
          <w:rFonts w:ascii="Times New Roman" w:hAnsi="Times New Roman" w:cs="Times New Roman"/>
          <w:bCs/>
          <w:i/>
          <w:sz w:val="24"/>
          <w:szCs w:val="24"/>
        </w:rPr>
        <w:t>Suda</w:t>
      </w:r>
      <w:proofErr w:type="spellEnd"/>
      <w:r>
        <w:rPr>
          <w:rFonts w:ascii="Times New Roman" w:hAnsi="Times New Roman" w:cs="Times New Roman"/>
          <w:bCs/>
          <w:i/>
          <w:sz w:val="24"/>
          <w:szCs w:val="24"/>
        </w:rPr>
        <w:t xml:space="preserve"> </w:t>
      </w:r>
      <w:proofErr w:type="spellStart"/>
      <w:r>
        <w:rPr>
          <w:rFonts w:ascii="Times New Roman" w:hAnsi="Times New Roman" w:cs="Times New Roman"/>
          <w:bCs/>
          <w:i/>
          <w:sz w:val="24"/>
          <w:szCs w:val="24"/>
        </w:rPr>
        <w:t>Bosne</w:t>
      </w:r>
      <w:proofErr w:type="spellEnd"/>
      <w:r>
        <w:rPr>
          <w:rFonts w:ascii="Times New Roman" w:hAnsi="Times New Roman" w:cs="Times New Roman"/>
          <w:bCs/>
          <w:i/>
          <w:sz w:val="24"/>
          <w:szCs w:val="24"/>
        </w:rPr>
        <w:t xml:space="preserve"> </w:t>
      </w:r>
      <w:proofErr w:type="spellStart"/>
      <w:r>
        <w:rPr>
          <w:rFonts w:ascii="Times New Roman" w:hAnsi="Times New Roman" w:cs="Times New Roman"/>
          <w:bCs/>
          <w:i/>
          <w:sz w:val="24"/>
          <w:szCs w:val="24"/>
        </w:rPr>
        <w:t>i</w:t>
      </w:r>
      <w:proofErr w:type="spellEnd"/>
      <w:r>
        <w:rPr>
          <w:rFonts w:ascii="Times New Roman" w:hAnsi="Times New Roman" w:cs="Times New Roman"/>
          <w:bCs/>
          <w:i/>
          <w:sz w:val="24"/>
          <w:szCs w:val="24"/>
        </w:rPr>
        <w:t xml:space="preserve"> </w:t>
      </w:r>
      <w:proofErr w:type="spellStart"/>
      <w:r>
        <w:rPr>
          <w:rFonts w:ascii="Times New Roman" w:hAnsi="Times New Roman" w:cs="Times New Roman"/>
          <w:bCs/>
          <w:i/>
          <w:sz w:val="24"/>
          <w:szCs w:val="24"/>
        </w:rPr>
        <w:t>Hercegovine</w:t>
      </w:r>
      <w:proofErr w:type="spellEnd"/>
      <w:r>
        <w:rPr>
          <w:rFonts w:ascii="Times New Roman" w:hAnsi="Times New Roman" w:cs="Times New Roman"/>
          <w:bCs/>
          <w:sz w:val="24"/>
          <w:szCs w:val="24"/>
        </w:rPr>
        <w:t xml:space="preserve"> </w:t>
      </w:r>
      <w:r>
        <w:rPr>
          <w:rFonts w:ascii="Times New Roman" w:hAnsi="Times New Roman" w:cs="Times New Roman"/>
          <w:sz w:val="24"/>
          <w:szCs w:val="24"/>
          <w:lang w:val="sr-Latn-RS"/>
        </w:rPr>
        <w:t>[</w:t>
      </w:r>
      <w:r>
        <w:rPr>
          <w:rFonts w:ascii="Times New Roman" w:hAnsi="Times New Roman" w:cs="Times New Roman"/>
          <w:bCs/>
          <w:i/>
          <w:sz w:val="24"/>
          <w:szCs w:val="24"/>
        </w:rPr>
        <w:t>Judicial practice of the Court of Bosnia and Herzegovina</w:t>
      </w:r>
      <w:r>
        <w:rPr>
          <w:rFonts w:ascii="Times New Roman" w:hAnsi="Times New Roman" w:cs="Times New Roman"/>
          <w:sz w:val="24"/>
          <w:szCs w:val="24"/>
          <w:lang w:val="sr-Latn-RS"/>
        </w:rPr>
        <w:t xml:space="preserve">]. </w:t>
      </w:r>
      <w:r>
        <w:rPr>
          <w:rFonts w:ascii="Times New Roman" w:hAnsi="Times New Roman" w:cs="Times New Roman"/>
          <w:bCs/>
          <w:sz w:val="24"/>
          <w:szCs w:val="24"/>
        </w:rPr>
        <w:t>Retrieved from</w:t>
      </w:r>
    </w:p>
    <w:p>
      <w:pPr>
        <w:pStyle w:val="ListParagraph"/>
        <w:rPr>
          <w:rStyle w:val="FootnoteReference"/>
          <w:rFonts w:ascii="Times New Roman" w:hAnsi="Times New Roman" w:cs="Times New Roman"/>
          <w:bCs/>
          <w:sz w:val="24"/>
          <w:szCs w:val="24"/>
        </w:rPr>
      </w:pPr>
      <w:r>
        <w:rPr>
          <w:rFonts w:ascii="Times New Roman" w:hAnsi="Times New Roman" w:cs="Times New Roman"/>
          <w:bCs/>
          <w:sz w:val="24"/>
          <w:szCs w:val="24"/>
        </w:rPr>
        <w:t>http://www.sudbih.gov.ba/</w:t>
      </w:r>
    </w:p>
    <w:p>
      <w:pPr>
        <w:pStyle w:val="ListParagraph"/>
        <w:numPr>
          <w:ilvl w:val="0"/>
          <w:numId w:val="2"/>
        </w:numPr>
        <w:tabs>
          <w:tab w:val="left" w:pos="1701"/>
        </w:tabs>
        <w:rPr>
          <w:rFonts w:ascii="Times New Roman" w:hAnsi="Times New Roman" w:cs="Times New Roman"/>
          <w:sz w:val="24"/>
          <w:szCs w:val="24"/>
        </w:rPr>
      </w:pPr>
      <w:proofErr w:type="spellStart"/>
      <w:r>
        <w:rPr>
          <w:rFonts w:ascii="Times New Roman" w:eastAsia="Calibri" w:hAnsi="Times New Roman" w:cs="Times New Roman"/>
          <w:sz w:val="24"/>
          <w:szCs w:val="24"/>
        </w:rPr>
        <w:t>Šikman</w:t>
      </w:r>
      <w:proofErr w:type="spellEnd"/>
      <w:r>
        <w:rPr>
          <w:rFonts w:ascii="Times New Roman" w:eastAsia="Calibri" w:hAnsi="Times New Roman" w:cs="Times New Roman"/>
          <w:sz w:val="24"/>
          <w:szCs w:val="24"/>
        </w:rPr>
        <w:t>, M., Lalić, V. (2021). O</w:t>
      </w:r>
      <w:r>
        <w:rPr>
          <w:rFonts w:ascii="Times New Roman" w:hAnsi="Times New Roman" w:cs="Times New Roman"/>
          <w:sz w:val="24"/>
          <w:szCs w:val="24"/>
        </w:rPr>
        <w:t>rganized Criminal Groups – Criminology Context and Security Perspectives (Case Study: Bosnia and Herzegovina)</w:t>
      </w:r>
      <w:r>
        <w:rPr>
          <w:rFonts w:ascii="Times New Roman" w:eastAsia="Calibri" w:hAnsi="Times New Roman" w:cs="Times New Roman"/>
          <w:sz w:val="24"/>
          <w:szCs w:val="24"/>
          <w:shd w:val="clear" w:color="auto" w:fill="FFFFFF"/>
        </w:rPr>
        <w:t>.</w:t>
      </w:r>
      <w:r>
        <w:rPr>
          <w:rFonts w:ascii="Times New Roman" w:eastAsia="Calibri" w:hAnsi="Times New Roman" w:cs="Times New Roman"/>
          <w:sz w:val="24"/>
          <w:szCs w:val="24"/>
          <w:shd w:val="clear" w:color="auto" w:fill="FFFFFF"/>
          <w:lang w:val="sr-Cyrl-BA"/>
        </w:rPr>
        <w:t xml:space="preserve"> In Mesko, </w:t>
      </w:r>
      <w:r>
        <w:rPr>
          <w:rFonts w:ascii="Times New Roman" w:eastAsia="Calibri" w:hAnsi="Times New Roman" w:cs="Times New Roman"/>
          <w:sz w:val="24"/>
          <w:szCs w:val="24"/>
          <w:shd w:val="clear" w:color="auto" w:fill="FFFFFF"/>
        </w:rPr>
        <w:t>G</w:t>
      </w:r>
      <w:r>
        <w:rPr>
          <w:rFonts w:ascii="Times New Roman" w:eastAsia="Calibri" w:hAnsi="Times New Roman" w:cs="Times New Roman"/>
          <w:sz w:val="24"/>
          <w:szCs w:val="24"/>
          <w:shd w:val="clear" w:color="auto" w:fill="FFFFFF"/>
          <w:lang w:val="sr-Cyrl-BA"/>
        </w:rPr>
        <w:t>.,</w:t>
      </w:r>
      <w:r>
        <w:rPr>
          <w:rFonts w:ascii="Times New Roman" w:eastAsia="Calibri" w:hAnsi="Times New Roman" w:cs="Times New Roman"/>
          <w:sz w:val="24"/>
          <w:szCs w:val="24"/>
          <w:shd w:val="clear" w:color="auto" w:fill="FFFFFF"/>
        </w:rPr>
        <w:t xml:space="preserve"> </w:t>
      </w:r>
      <w:proofErr w:type="spellStart"/>
      <w:r>
        <w:rPr>
          <w:rFonts w:ascii="Times New Roman" w:eastAsia="Calibri" w:hAnsi="Times New Roman" w:cs="Times New Roman"/>
          <w:sz w:val="24"/>
          <w:szCs w:val="24"/>
          <w:shd w:val="clear" w:color="auto" w:fill="FFFFFF"/>
        </w:rPr>
        <w:t>Dobovšek</w:t>
      </w:r>
      <w:proofErr w:type="spellEnd"/>
      <w:r>
        <w:rPr>
          <w:rFonts w:ascii="Times New Roman" w:eastAsia="Calibri" w:hAnsi="Times New Roman" w:cs="Times New Roman"/>
          <w:sz w:val="24"/>
          <w:szCs w:val="24"/>
          <w:shd w:val="clear" w:color="auto" w:fill="FFFFFF"/>
          <w:lang w:val="sr-Cyrl-BA"/>
        </w:rPr>
        <w:t>, B.,</w:t>
      </w:r>
      <w:r>
        <w:rPr>
          <w:rFonts w:ascii="Times New Roman" w:eastAsia="Calibri" w:hAnsi="Times New Roman" w:cs="Times New Roman"/>
          <w:sz w:val="24"/>
          <w:szCs w:val="24"/>
          <w:shd w:val="clear" w:color="auto" w:fill="FFFFFF"/>
        </w:rPr>
        <w:t xml:space="preserve"> </w:t>
      </w:r>
      <w:proofErr w:type="spellStart"/>
      <w:r>
        <w:rPr>
          <w:rFonts w:ascii="Times New Roman" w:eastAsia="Calibri" w:hAnsi="Times New Roman" w:cs="Times New Roman"/>
          <w:sz w:val="24"/>
          <w:szCs w:val="24"/>
          <w:shd w:val="clear" w:color="auto" w:fill="FFFFFF"/>
        </w:rPr>
        <w:t>Tominc</w:t>
      </w:r>
      <w:proofErr w:type="spellEnd"/>
      <w:r>
        <w:rPr>
          <w:rFonts w:ascii="Times New Roman" w:eastAsia="Calibri" w:hAnsi="Times New Roman" w:cs="Times New Roman"/>
          <w:sz w:val="24"/>
          <w:szCs w:val="24"/>
          <w:shd w:val="clear" w:color="auto" w:fill="FFFFFF"/>
        </w:rPr>
        <w:t>, B.</w:t>
      </w:r>
      <w:r>
        <w:rPr>
          <w:rFonts w:ascii="Times New Roman" w:eastAsia="Calibri" w:hAnsi="Times New Roman" w:cs="Times New Roman"/>
          <w:sz w:val="24"/>
          <w:szCs w:val="24"/>
          <w:shd w:val="clear" w:color="auto" w:fill="FFFFFF"/>
          <w:lang w:val="sr-Cyrl-BA"/>
        </w:rPr>
        <w:t xml:space="preserve"> (Eds.).</w:t>
      </w:r>
      <w:r>
        <w:rPr>
          <w:rFonts w:ascii="Times New Roman" w:eastAsia="Calibri" w:hAnsi="Times New Roman" w:cs="Times New Roman"/>
          <w:sz w:val="24"/>
          <w:szCs w:val="24"/>
          <w:shd w:val="clear" w:color="auto" w:fill="FFFFFF"/>
        </w:rPr>
        <w:t xml:space="preserve"> </w:t>
      </w:r>
      <w:r>
        <w:rPr>
          <w:rFonts w:ascii="Times New Roman" w:hAnsi="Times New Roman" w:cs="Times New Roman"/>
          <w:i/>
          <w:sz w:val="24"/>
          <w:szCs w:val="24"/>
        </w:rPr>
        <w:t>Criminal Justice and Security in Central and Eastern Europe –</w:t>
      </w:r>
      <w:r>
        <w:rPr>
          <w:rFonts w:ascii="Times New Roman" w:hAnsi="Times New Roman" w:cs="Times New Roman"/>
          <w:i/>
          <w:sz w:val="24"/>
          <w:szCs w:val="24"/>
          <w:lang w:val="sr-Cyrl-BA"/>
        </w:rPr>
        <w:t xml:space="preserve"> </w:t>
      </w:r>
      <w:r>
        <w:rPr>
          <w:rFonts w:ascii="Times New Roman" w:hAnsi="Times New Roman" w:cs="Times New Roman"/>
          <w:i/>
          <w:sz w:val="24"/>
          <w:szCs w:val="24"/>
        </w:rPr>
        <w:t>Perspectives of Rural Safety, Security and Rural Criminology</w:t>
      </w:r>
      <w:r>
        <w:rPr>
          <w:rFonts w:ascii="Times New Roman" w:eastAsia="Calibri" w:hAnsi="Times New Roman" w:cs="Times New Roman"/>
          <w:i/>
          <w:sz w:val="24"/>
          <w:szCs w:val="24"/>
          <w:shd w:val="clear" w:color="auto" w:fill="FFFFFF"/>
          <w:lang w:val="sr-Cyrl-BA"/>
        </w:rPr>
        <w:t xml:space="preserve">, </w:t>
      </w:r>
      <w:r>
        <w:rPr>
          <w:rFonts w:ascii="Times New Roman" w:eastAsia="MinionPro-Regular" w:hAnsi="Times New Roman" w:cs="Times New Roman"/>
          <w:i/>
          <w:sz w:val="24"/>
          <w:szCs w:val="24"/>
          <w:lang w:val="sr-Cyrl-BA"/>
        </w:rPr>
        <w:t>Book of Abstracts</w:t>
      </w:r>
      <w:r>
        <w:rPr>
          <w:rFonts w:ascii="Times New Roman" w:eastAsia="MinionPro-Regular" w:hAnsi="Times New Roman" w:cs="Times New Roman"/>
          <w:sz w:val="24"/>
          <w:szCs w:val="24"/>
          <w:lang w:val="sr-Cyrl-BA"/>
        </w:rPr>
        <w:t xml:space="preserve"> </w:t>
      </w:r>
      <w:r>
        <w:rPr>
          <w:rFonts w:ascii="Times New Roman" w:eastAsia="Calibri" w:hAnsi="Times New Roman" w:cs="Times New Roman"/>
          <w:sz w:val="24"/>
          <w:szCs w:val="24"/>
          <w:shd w:val="clear" w:color="auto" w:fill="FFFFFF"/>
          <w:lang w:val="sr-Cyrl-BA"/>
        </w:rPr>
        <w:t>(</w:t>
      </w:r>
      <w:r>
        <w:rPr>
          <w:rFonts w:ascii="Times New Roman" w:eastAsia="Calibri" w:hAnsi="Times New Roman" w:cs="Times New Roman"/>
          <w:sz w:val="24"/>
          <w:szCs w:val="24"/>
          <w:shd w:val="clear" w:color="auto" w:fill="FFFFFF"/>
        </w:rPr>
        <w:t>p.</w:t>
      </w:r>
      <w:r>
        <w:rPr>
          <w:rFonts w:ascii="Times New Roman" w:eastAsia="Calibri" w:hAnsi="Times New Roman" w:cs="Times New Roman"/>
          <w:sz w:val="24"/>
          <w:szCs w:val="24"/>
          <w:shd w:val="clear" w:color="auto" w:fill="FFFFFF"/>
          <w:lang w:val="sr-Cyrl-BA"/>
        </w:rPr>
        <w:t xml:space="preserve"> </w:t>
      </w:r>
      <w:r>
        <w:rPr>
          <w:rFonts w:ascii="Times New Roman" w:eastAsia="Calibri" w:hAnsi="Times New Roman" w:cs="Times New Roman"/>
          <w:sz w:val="24"/>
          <w:szCs w:val="24"/>
          <w:shd w:val="clear" w:color="auto" w:fill="FFFFFF"/>
        </w:rPr>
        <w:t>126</w:t>
      </w:r>
      <w:r>
        <w:rPr>
          <w:rFonts w:ascii="Times New Roman" w:eastAsia="Calibri" w:hAnsi="Times New Roman" w:cs="Times New Roman"/>
          <w:sz w:val="24"/>
          <w:szCs w:val="24"/>
          <w:shd w:val="clear" w:color="auto" w:fill="FFFFFF"/>
          <w:lang w:val="sr-Cyrl-BA"/>
        </w:rPr>
        <w:t xml:space="preserve">). Maribor: University of Maribor Press,  Faculty of Criminal Justice and Security. </w:t>
      </w:r>
      <w:r>
        <w:rPr>
          <w:rFonts w:ascii="Times New Roman" w:hAnsi="Times New Roman" w:cs="Times New Roman"/>
          <w:sz w:val="24"/>
          <w:szCs w:val="24"/>
        </w:rPr>
        <w:t xml:space="preserve"> </w:t>
      </w:r>
    </w:p>
    <w:p>
      <w:pPr>
        <w:pStyle w:val="ListParagraph"/>
        <w:numPr>
          <w:ilvl w:val="0"/>
          <w:numId w:val="2"/>
        </w:numPr>
        <w:tabs>
          <w:tab w:val="left" w:pos="1080"/>
        </w:tabs>
        <w:rPr>
          <w:rFonts w:ascii="Times New Roman" w:hAnsi="Times New Roman" w:cs="Times New Roman"/>
          <w:sz w:val="24"/>
          <w:szCs w:val="24"/>
        </w:rPr>
      </w:pPr>
      <w:proofErr w:type="spellStart"/>
      <w:r>
        <w:rPr>
          <w:rFonts w:ascii="Times New Roman" w:hAnsi="Times New Roman" w:cs="Times New Roman"/>
          <w:sz w:val="24"/>
          <w:szCs w:val="24"/>
        </w:rPr>
        <w:t>Šikman</w:t>
      </w:r>
      <w:proofErr w:type="spellEnd"/>
      <w:r>
        <w:rPr>
          <w:rFonts w:ascii="Times New Roman" w:hAnsi="Times New Roman" w:cs="Times New Roman"/>
          <w:sz w:val="24"/>
          <w:szCs w:val="24"/>
        </w:rPr>
        <w:t xml:space="preserve">, M. (2019). </w:t>
      </w:r>
      <w:proofErr w:type="spellStart"/>
      <w:r>
        <w:rPr>
          <w:rFonts w:ascii="Times New Roman" w:hAnsi="Times New Roman" w:cs="Times New Roman"/>
          <w:sz w:val="24"/>
          <w:szCs w:val="24"/>
        </w:rPr>
        <w:t>Organizovani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kriminalitet</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kriminalistička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praksa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Bosni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Hercegovini</w:t>
      </w:r>
      <w:proofErr w:type="spellEnd"/>
      <w:r>
        <w:rPr>
          <w:rFonts w:ascii="Times New Roman" w:hAnsi="Times New Roman" w:cs="Times New Roman"/>
          <w:sz w:val="24"/>
          <w:szCs w:val="24"/>
        </w:rPr>
        <w:t xml:space="preserve"> </w:t>
      </w:r>
      <w:r>
        <w:rPr>
          <w:rFonts w:ascii="Times New Roman" w:hAnsi="Times New Roman" w:cs="Times New Roman"/>
          <w:sz w:val="24"/>
          <w:szCs w:val="24"/>
          <w:lang w:val="sr-Latn-RS"/>
        </w:rPr>
        <w:t>[</w:t>
      </w:r>
      <w:r>
        <w:rPr>
          <w:rFonts w:ascii="Times New Roman" w:hAnsi="Times New Roman" w:cs="Times New Roman"/>
          <w:sz w:val="24"/>
          <w:szCs w:val="24"/>
        </w:rPr>
        <w:t xml:space="preserve">Organized crime – </w:t>
      </w:r>
      <w:proofErr w:type="spellStart"/>
      <w:r>
        <w:rPr>
          <w:rFonts w:ascii="Times New Roman" w:hAnsi="Times New Roman" w:cs="Times New Roman"/>
          <w:sz w:val="24"/>
          <w:szCs w:val="24"/>
        </w:rPr>
        <w:t>criminalistic</w:t>
      </w:r>
      <w:proofErr w:type="spellEnd"/>
      <w:r>
        <w:rPr>
          <w:rFonts w:ascii="Times New Roman" w:hAnsi="Times New Roman" w:cs="Times New Roman"/>
          <w:sz w:val="24"/>
          <w:szCs w:val="24"/>
        </w:rPr>
        <w:t xml:space="preserve"> and judicial practice in Bosnia and Herzegovina</w:t>
      </w:r>
      <w:r>
        <w:rPr>
          <w:rFonts w:ascii="Times New Roman" w:hAnsi="Times New Roman" w:cs="Times New Roman"/>
          <w:sz w:val="24"/>
          <w:szCs w:val="24"/>
          <w:lang w:val="sr-Latn-RS"/>
        </w:rPr>
        <w:t>]</w:t>
      </w:r>
      <w:r>
        <w:rPr>
          <w:rFonts w:ascii="Times New Roman" w:hAnsi="Times New Roman" w:cs="Times New Roman"/>
          <w:sz w:val="24"/>
          <w:szCs w:val="24"/>
        </w:rPr>
        <w:t xml:space="preserve">. U </w:t>
      </w:r>
      <w:proofErr w:type="spellStart"/>
      <w:r>
        <w:rPr>
          <w:rFonts w:ascii="Times New Roman" w:hAnsi="Times New Roman" w:cs="Times New Roman"/>
          <w:i/>
          <w:sz w:val="24"/>
          <w:szCs w:val="24"/>
        </w:rPr>
        <w:t>Kaznena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politika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prevencija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kriminaliteta</w:t>
      </w:r>
      <w:proofErr w:type="spellEnd"/>
      <w:r>
        <w:rPr>
          <w:rFonts w:ascii="Times New Roman" w:hAnsi="Times New Roman" w:cs="Times New Roman"/>
          <w:sz w:val="24"/>
          <w:szCs w:val="24"/>
          <w:lang w:val="sr-Latn-RS"/>
        </w:rPr>
        <w:t xml:space="preserve"> [</w:t>
      </w:r>
      <w:r>
        <w:rPr>
          <w:rFonts w:ascii="Times New Roman" w:hAnsi="Times New Roman" w:cs="Times New Roman"/>
          <w:i/>
          <w:sz w:val="24"/>
          <w:szCs w:val="24"/>
        </w:rPr>
        <w:t>Penal policy and crime prevention</w:t>
      </w:r>
      <w:r>
        <w:rPr>
          <w:rFonts w:ascii="Times New Roman" w:hAnsi="Times New Roman" w:cs="Times New Roman"/>
          <w:sz w:val="24"/>
          <w:szCs w:val="24"/>
          <w:lang w:val="sr-Latn-RS"/>
        </w:rPr>
        <w:t>],</w:t>
      </w:r>
      <w:r>
        <w:rPr>
          <w:rFonts w:ascii="Times New Roman" w:hAnsi="Times New Roman" w:cs="Times New Roman"/>
          <w:sz w:val="24"/>
          <w:szCs w:val="24"/>
        </w:rPr>
        <w:t xml:space="preserve"> (369-392). </w:t>
      </w:r>
      <w:proofErr w:type="spellStart"/>
      <w:r>
        <w:rPr>
          <w:rFonts w:ascii="Times New Roman" w:hAnsi="Times New Roman" w:cs="Times New Roman"/>
          <w:sz w:val="24"/>
          <w:szCs w:val="24"/>
        </w:rPr>
        <w:t>Trebinje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Srpsko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udruženje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krivičnopravnu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praksu</w:t>
      </w:r>
      <w:proofErr w:type="spellEnd"/>
      <w:r>
        <w:rPr>
          <w:rFonts w:ascii="Times New Roman" w:hAnsi="Times New Roman" w:cs="Times New Roman"/>
          <w:sz w:val="24"/>
          <w:szCs w:val="24"/>
        </w:rPr>
        <w:t>.</w:t>
      </w:r>
      <w:r>
        <w:rPr>
          <w:rFonts w:ascii="Calibri" w:hAnsi="Calibri" w:cs="Calibri"/>
          <w:color w:val="1F497D"/>
          <w:shd w:val="clear" w:color="auto" w:fill="FFFFFF"/>
        </w:rPr>
        <w:t xml:space="preserve"> </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proofErr w:type="spellStart"/>
      <w:r>
        <w:rPr>
          <w:rFonts w:ascii="Times New Roman" w:hAnsi="Times New Roman" w:cs="Times New Roman"/>
          <w:sz w:val="24"/>
          <w:szCs w:val="24"/>
        </w:rPr>
        <w:t>Šikman</w:t>
      </w:r>
      <w:proofErr w:type="spellEnd"/>
      <w:r>
        <w:rPr>
          <w:rFonts w:ascii="Times New Roman" w:hAnsi="Times New Roman" w:cs="Times New Roman"/>
          <w:sz w:val="24"/>
          <w:szCs w:val="24"/>
        </w:rPr>
        <w:t xml:space="preserve">, M. (2011). </w:t>
      </w:r>
      <w:proofErr w:type="spellStart"/>
      <w:r>
        <w:rPr>
          <w:rFonts w:ascii="Times New Roman" w:hAnsi="Times New Roman" w:cs="Times New Roman"/>
          <w:i/>
          <w:sz w:val="24"/>
          <w:szCs w:val="24"/>
        </w:rPr>
        <w:t>Organizovani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kriminalitet</w:t>
      </w:r>
      <w:proofErr w:type="spellEnd"/>
      <w:r>
        <w:rPr>
          <w:rFonts w:ascii="Times New Roman" w:hAnsi="Times New Roman" w:cs="Times New Roman"/>
          <w:sz w:val="24"/>
          <w:szCs w:val="24"/>
        </w:rPr>
        <w:t xml:space="preserve"> </w:t>
      </w:r>
      <w:r>
        <w:rPr>
          <w:rFonts w:ascii="Times New Roman" w:hAnsi="Times New Roman" w:cs="Times New Roman"/>
          <w:sz w:val="24"/>
          <w:szCs w:val="24"/>
          <w:lang w:val="sr-Latn-RS"/>
        </w:rPr>
        <w:t>[</w:t>
      </w:r>
      <w:r>
        <w:rPr>
          <w:rFonts w:ascii="Times New Roman" w:hAnsi="Times New Roman" w:cs="Times New Roman"/>
          <w:i/>
          <w:sz w:val="24"/>
          <w:szCs w:val="24"/>
        </w:rPr>
        <w:t>Organized crime</w:t>
      </w:r>
      <w:r>
        <w:rPr>
          <w:rFonts w:ascii="Times New Roman" w:hAnsi="Times New Roman" w:cs="Times New Roman"/>
          <w:sz w:val="24"/>
          <w:szCs w:val="24"/>
          <w:lang w:val="sr-Latn-RS"/>
        </w:rPr>
        <w:t xml:space="preserve">]. </w:t>
      </w:r>
      <w:r>
        <w:rPr>
          <w:rFonts w:ascii="Times New Roman" w:hAnsi="Times New Roman" w:cs="Times New Roman"/>
          <w:sz w:val="24"/>
          <w:szCs w:val="24"/>
        </w:rPr>
        <w:t xml:space="preserve">Banja Luka: </w:t>
      </w:r>
      <w:proofErr w:type="spellStart"/>
      <w:r>
        <w:rPr>
          <w:rFonts w:ascii="Times New Roman" w:hAnsi="Times New Roman" w:cs="Times New Roman"/>
          <w:sz w:val="24"/>
          <w:szCs w:val="24"/>
        </w:rPr>
        <w:t>Visoka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unutrašnjih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poslova</w:t>
      </w:r>
      <w:proofErr w:type="spellEnd"/>
      <w:r>
        <w:rPr>
          <w:rFonts w:ascii="Times New Roman" w:hAnsi="Times New Roman" w:cs="Times New Roman"/>
          <w:sz w:val="24"/>
          <w:szCs w:val="24"/>
        </w:rPr>
        <w:t>.</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hAnsi="Times New Roman" w:cs="Times New Roman"/>
          <w:sz w:val="24"/>
          <w:szCs w:val="24"/>
        </w:rPr>
        <w:t xml:space="preserve">UNODC. (2020). </w:t>
      </w:r>
      <w:r>
        <w:rPr>
          <w:rFonts w:ascii="Times New Roman" w:hAnsi="Times New Roman" w:cs="Times New Roman"/>
          <w:i/>
          <w:sz w:val="24"/>
          <w:szCs w:val="24"/>
        </w:rPr>
        <w:t>Measuring and assessing organized crime in the Western Balkans</w:t>
      </w:r>
      <w:r>
        <w:rPr>
          <w:rFonts w:ascii="Times New Roman" w:hAnsi="Times New Roman" w:cs="Times New Roman"/>
          <w:sz w:val="24"/>
          <w:szCs w:val="24"/>
        </w:rPr>
        <w:t>. Vienna: United Nations Office on Drugs and Crime. Retrieved from</w:t>
      </w:r>
      <w:r>
        <w:rPr>
          <w:rFonts w:ascii="Times New Roman" w:hAnsi="Times New Roman" w:cs="Times New Roman"/>
          <w:sz w:val="24"/>
          <w:szCs w:val="24"/>
          <w:lang w:val="sr-Latn-RS"/>
        </w:rPr>
        <w:t xml:space="preserve"> </w:t>
      </w:r>
      <w:hyperlink r:id="rId10" w:history="1">
        <w:r>
          <w:rPr>
            <w:rStyle w:val="Hyperlink"/>
            <w:rFonts w:ascii="Times New Roman" w:hAnsi="Times New Roman" w:cs="Times New Roman"/>
            <w:sz w:val="24"/>
            <w:szCs w:val="24"/>
          </w:rPr>
          <w:t>https://www.unodc.org/documents/data-and-analysis/OC/Measuring-OC-in-WB.pdf</w:t>
        </w:r>
      </w:hyperlink>
      <w:r>
        <w:rPr>
          <w:rFonts w:ascii="Times New Roman" w:hAnsi="Times New Roman" w:cs="Times New Roman"/>
          <w:sz w:val="24"/>
          <w:szCs w:val="24"/>
        </w:rPr>
        <w:t xml:space="preserve"> </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hAnsi="Times New Roman" w:cs="Times New Roman"/>
          <w:sz w:val="24"/>
          <w:szCs w:val="24"/>
        </w:rPr>
        <w:t>United Nations Convention Against Transnational Organized Crime and the Protocols Thereto, General Assembly resolution 55/25 of 15 November 2000.</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hAnsi="Times New Roman" w:cs="Times New Roman"/>
          <w:sz w:val="24"/>
          <w:szCs w:val="24"/>
          <w:lang w:val="sr-Latn-RS"/>
        </w:rPr>
        <w:t xml:space="preserve">USAID. (2019). </w:t>
      </w:r>
      <w:r>
        <w:rPr>
          <w:rFonts w:ascii="Times New Roman" w:hAnsi="Times New Roman" w:cs="Times New Roman"/>
          <w:i/>
          <w:sz w:val="24"/>
          <w:szCs w:val="24"/>
          <w:lang w:val="sr-Latn-BA"/>
        </w:rPr>
        <w:t>Vodič kroz dobre prakse u procesuiranju koruptivnih krivičnih djela, krivičnih djela sa finansijskim elementom i krivičnih djela organizovanog kriminala i Priručnik za opšta pitanja krivičnog postupka</w:t>
      </w:r>
      <w:r>
        <w:rPr>
          <w:rFonts w:ascii="Times New Roman" w:hAnsi="Times New Roman" w:cs="Times New Roman"/>
          <w:sz w:val="24"/>
          <w:szCs w:val="24"/>
          <w:lang w:val="sr-Latn-BA"/>
        </w:rPr>
        <w:t xml:space="preserve"> </w:t>
      </w:r>
      <w:r>
        <w:rPr>
          <w:rFonts w:ascii="Times New Roman" w:hAnsi="Times New Roman" w:cs="Times New Roman"/>
          <w:sz w:val="24"/>
          <w:szCs w:val="24"/>
          <w:lang w:val="sr-Latn-RS"/>
        </w:rPr>
        <w:t>[</w:t>
      </w:r>
      <w:r>
        <w:rPr>
          <w:rFonts w:ascii="Times New Roman" w:hAnsi="Times New Roman" w:cs="Times New Roman"/>
          <w:sz w:val="24"/>
          <w:szCs w:val="24"/>
        </w:rPr>
        <w:t>Universal bench book on how to prosecute and adjudicate corruption, economic crime, and organized crime cases and  General issues of the criminal procedure</w:t>
      </w:r>
      <w:r>
        <w:rPr>
          <w:rFonts w:ascii="Times New Roman" w:hAnsi="Times New Roman" w:cs="Times New Roman"/>
          <w:sz w:val="24"/>
          <w:szCs w:val="24"/>
          <w:lang w:val="sr-Latn-RS"/>
        </w:rPr>
        <w:t xml:space="preserve">]. </w:t>
      </w:r>
      <w:r>
        <w:rPr>
          <w:rFonts w:ascii="Times New Roman" w:hAnsi="Times New Roman" w:cs="Times New Roman"/>
          <w:sz w:val="24"/>
          <w:szCs w:val="24"/>
          <w:lang w:val="sr-Latn-BA"/>
        </w:rPr>
        <w:t>Sarajevo: USAID.</w:t>
      </w:r>
    </w:p>
    <w:p>
      <w:pPr>
        <w:pStyle w:val="ListParagraph"/>
        <w:numPr>
          <w:ilvl w:val="0"/>
          <w:numId w:val="2"/>
        </w:numPr>
        <w:shd w:val="clear" w:color="auto" w:fill="FFFFFF"/>
        <w:spacing w:line="293" w:lineRule="atLeast"/>
        <w:rPr>
          <w:rFonts w:ascii="Times New Roman" w:eastAsia="Times New Roman" w:hAnsi="Times New Roman" w:cs="Times New Roman"/>
          <w:sz w:val="24"/>
          <w:szCs w:val="24"/>
          <w:lang w:val="sr-Latn-BA" w:eastAsia="en-GB"/>
        </w:rPr>
      </w:pPr>
      <w:r>
        <w:rPr>
          <w:rFonts w:ascii="Times New Roman" w:hAnsi="Times New Roman" w:cs="Times New Roman"/>
          <w:sz w:val="24"/>
          <w:szCs w:val="24"/>
          <w:lang w:val="sr-Latn-RS"/>
        </w:rPr>
        <w:t xml:space="preserve"> Vijeće Evrope i Evropska unija. (2006). </w:t>
      </w:r>
      <w:r>
        <w:rPr>
          <w:rFonts w:ascii="Times New Roman" w:hAnsi="Times New Roman" w:cs="Times New Roman"/>
          <w:i/>
          <w:sz w:val="24"/>
          <w:szCs w:val="24"/>
          <w:lang w:val="sr-Latn-RS"/>
        </w:rPr>
        <w:t xml:space="preserve">Izvještaj o stanju u oblasti organizovanog i privrednog kriminaliteta </w:t>
      </w:r>
      <w:r>
        <w:rPr>
          <w:rFonts w:ascii="Times New Roman" w:hAnsi="Times New Roman" w:cs="Times New Roman"/>
          <w:sz w:val="24"/>
          <w:szCs w:val="24"/>
          <w:lang w:val="sr-Latn-RS"/>
        </w:rPr>
        <w:t xml:space="preserve">[Situation Report on Organised and Economic Crime].Strastoburg: Vijeće Evrope i Evropska unija. </w:t>
      </w:r>
      <w:r>
        <w:rPr>
          <w:rFonts w:ascii="Times New Roman" w:hAnsi="Times New Roman" w:cs="Times New Roman"/>
          <w:sz w:val="24"/>
          <w:szCs w:val="24"/>
        </w:rPr>
        <w:t>Retrieved from</w:t>
      </w:r>
      <w:r>
        <w:rPr>
          <w:rFonts w:ascii="Times New Roman" w:hAnsi="Times New Roman" w:cs="Times New Roman"/>
          <w:sz w:val="24"/>
          <w:szCs w:val="24"/>
          <w:lang w:val="sr-Latn-RS"/>
        </w:rPr>
        <w:t xml:space="preserve"> </w:t>
      </w:r>
      <w:hyperlink r:id="rId11" w:history="1">
        <w:r>
          <w:rPr>
            <w:rStyle w:val="Hyperlink"/>
            <w:rFonts w:ascii="Times New Roman" w:hAnsi="Times New Roman" w:cs="Times New Roman"/>
            <w:sz w:val="24"/>
            <w:szCs w:val="24"/>
            <w:lang w:val="sr-Latn-RS"/>
          </w:rPr>
          <w:t>https://rm.coe.int/16806ef39f</w:t>
        </w:r>
      </w:hyperlink>
    </w:p>
    <w:p>
      <w:pPr>
        <w:pStyle w:val="ListParagraph"/>
        <w:numPr>
          <w:ilvl w:val="0"/>
          <w:numId w:val="2"/>
        </w:numPr>
        <w:rPr>
          <w:rFonts w:ascii="Times New Roman" w:hAnsi="Times New Roman" w:cs="Times New Roman"/>
          <w:sz w:val="24"/>
          <w:szCs w:val="24"/>
          <w:shd w:val="clear" w:color="auto" w:fill="FFFFFF"/>
        </w:rPr>
      </w:pPr>
      <w:r>
        <w:rPr>
          <w:rFonts w:ascii="Times New Roman" w:hAnsi="Times New Roman" w:cs="Times New Roman"/>
          <w:sz w:val="24"/>
          <w:szCs w:val="24"/>
        </w:rPr>
        <w:t xml:space="preserve">von Lampe, K. (2002). </w:t>
      </w:r>
      <w:r>
        <w:rPr>
          <w:rFonts w:ascii="Times New Roman" w:hAnsi="Times New Roman" w:cs="Times New Roman"/>
          <w:sz w:val="24"/>
          <w:szCs w:val="24"/>
          <w:shd w:val="clear" w:color="auto" w:fill="FFFFFF"/>
        </w:rPr>
        <w:t>Organized Crime Research in Perspective. In. P. van Duyne, K. von Lampe, &amp; N. Passas (</w:t>
      </w:r>
      <w:proofErr w:type="spellStart"/>
      <w:r>
        <w:rPr>
          <w:rFonts w:ascii="Times New Roman" w:hAnsi="Times New Roman" w:cs="Times New Roman"/>
          <w:sz w:val="24"/>
          <w:szCs w:val="24"/>
          <w:shd w:val="clear" w:color="auto" w:fill="FFFFFF"/>
        </w:rPr>
        <w:t>Eds</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i/>
          <w:sz w:val="24"/>
          <w:szCs w:val="24"/>
          <w:shd w:val="clear" w:color="auto" w:fill="FFFFFF"/>
        </w:rPr>
        <w:t>Upperworld</w:t>
      </w:r>
      <w:proofErr w:type="spellEnd"/>
      <w:r>
        <w:rPr>
          <w:rFonts w:ascii="Times New Roman" w:hAnsi="Times New Roman" w:cs="Times New Roman"/>
          <w:i/>
          <w:sz w:val="24"/>
          <w:szCs w:val="24"/>
          <w:shd w:val="clear" w:color="auto" w:fill="FFFFFF"/>
        </w:rPr>
        <w:t xml:space="preserve"> and Underworld in Cross-Border Crime</w:t>
      </w:r>
      <w:r>
        <w:rPr>
          <w:rFonts w:ascii="Times New Roman" w:hAnsi="Times New Roman" w:cs="Times New Roman"/>
          <w:sz w:val="24"/>
          <w:szCs w:val="24"/>
          <w:shd w:val="clear" w:color="auto" w:fill="FFFFFF"/>
        </w:rPr>
        <w:t>. (pp.189-198). Nijmegen: Wolf Legal Publishers.</w:t>
      </w:r>
    </w:p>
    <w:p>
      <w:pPr>
        <w:pStyle w:val="ListParagraph"/>
        <w:numPr>
          <w:ilvl w:val="0"/>
          <w:numId w:val="2"/>
        </w:numPr>
        <w:rPr>
          <w:rFonts w:ascii="Times New Roman" w:hAnsi="Times New Roman" w:cs="Times New Roman"/>
          <w:bCs/>
          <w:sz w:val="24"/>
          <w:szCs w:val="24"/>
        </w:rPr>
      </w:pPr>
      <w:proofErr w:type="spellStart"/>
      <w:r>
        <w:rPr>
          <w:rFonts w:ascii="Times New Roman" w:hAnsi="Times New Roman" w:cs="Times New Roman"/>
          <w:sz w:val="24"/>
          <w:szCs w:val="24"/>
        </w:rPr>
        <w:t>Woodiwiss</w:t>
      </w:r>
      <w:proofErr w:type="spellEnd"/>
      <w:r>
        <w:rPr>
          <w:rFonts w:ascii="Times New Roman" w:hAnsi="Times New Roman" w:cs="Times New Roman"/>
          <w:sz w:val="24"/>
          <w:szCs w:val="24"/>
        </w:rPr>
        <w:t xml:space="preserve">, M. (2000). Organized Crime – The Dumbing of Discourse. In G. </w:t>
      </w:r>
      <w:proofErr w:type="spellStart"/>
      <w:r>
        <w:rPr>
          <w:rFonts w:ascii="Times New Roman" w:hAnsi="Times New Roman" w:cs="Times New Roman"/>
          <w:sz w:val="24"/>
          <w:szCs w:val="24"/>
        </w:rPr>
        <w:t>Mair</w:t>
      </w:r>
      <w:proofErr w:type="spellEnd"/>
      <w:r>
        <w:rPr>
          <w:rFonts w:ascii="Times New Roman" w:hAnsi="Times New Roman" w:cs="Times New Roman"/>
          <w:sz w:val="24"/>
          <w:szCs w:val="24"/>
        </w:rPr>
        <w:t xml:space="preserve"> &amp; R. </w:t>
      </w:r>
      <w:proofErr w:type="spellStart"/>
      <w:r>
        <w:rPr>
          <w:rFonts w:ascii="Times New Roman" w:hAnsi="Times New Roman" w:cs="Times New Roman"/>
          <w:sz w:val="24"/>
          <w:szCs w:val="24"/>
        </w:rPr>
        <w:t>Tarling</w:t>
      </w:r>
      <w:proofErr w:type="spellEnd"/>
      <w:r>
        <w:rPr>
          <w:rFonts w:ascii="Times New Roman" w:hAnsi="Times New Roman" w:cs="Times New Roman"/>
          <w:sz w:val="24"/>
          <w:szCs w:val="24"/>
        </w:rPr>
        <w:t xml:space="preserve"> (Eds.), </w:t>
      </w:r>
      <w:r>
        <w:rPr>
          <w:rFonts w:ascii="Times New Roman" w:hAnsi="Times New Roman" w:cs="Times New Roman"/>
          <w:i/>
          <w:sz w:val="24"/>
          <w:szCs w:val="24"/>
        </w:rPr>
        <w:t>The British Criminology Conference 1999</w:t>
      </w:r>
      <w:r>
        <w:rPr>
          <w:rFonts w:ascii="Times New Roman" w:hAnsi="Times New Roman" w:cs="Times New Roman"/>
          <w:sz w:val="24"/>
          <w:szCs w:val="24"/>
        </w:rPr>
        <w:t xml:space="preserve">: Selected Proceedings. Vol 3. </w:t>
      </w:r>
      <w:r>
        <w:rPr>
          <w:rFonts w:ascii="Times New Roman" w:hAnsi="Times New Roman" w:cs="Times New Roman"/>
          <w:bCs/>
          <w:sz w:val="24"/>
          <w:szCs w:val="24"/>
        </w:rPr>
        <w:t>Liverpool.</w:t>
      </w:r>
    </w:p>
    <w:p>
      <w:pPr>
        <w:spacing w:after="0" w:line="240" w:lineRule="auto"/>
        <w:jc w:val="both"/>
        <w:rPr>
          <w:bCs/>
          <w:szCs w:val="24"/>
        </w:rPr>
      </w:pPr>
    </w:p>
    <w:p>
      <w:pPr>
        <w:shd w:val="clear" w:color="auto" w:fill="FFFFFF"/>
        <w:spacing w:after="0" w:line="360" w:lineRule="auto"/>
        <w:rPr>
          <w:rFonts w:eastAsia="Times New Roman"/>
          <w:szCs w:val="24"/>
          <w:lang w:val="sr-Latn-BA" w:eastAsia="en-GB"/>
        </w:rPr>
      </w:pPr>
      <w:r>
        <w:rPr>
          <w:rFonts w:eastAsia="Times New Roman"/>
          <w:szCs w:val="24"/>
          <w:lang w:val="sr-Latn-BA" w:eastAsia="en-GB"/>
        </w:rPr>
        <w:t>Presude Suda BiH</w:t>
      </w:r>
      <w:r>
        <w:rPr>
          <w:rFonts w:eastAsia="Times New Roman"/>
          <w:szCs w:val="24"/>
          <w:lang w:val="sr-Cyrl-RS" w:eastAsia="en-GB"/>
        </w:rPr>
        <w:t xml:space="preserve"> [Ј</w:t>
      </w:r>
      <w:r>
        <w:rPr>
          <w:rFonts w:eastAsia="Times New Roman"/>
          <w:szCs w:val="24"/>
          <w:lang w:val="sr-Latn-RS" w:eastAsia="en-GB"/>
        </w:rPr>
        <w:t>udgment Court of Bosnia and Herzegovina</w:t>
      </w:r>
      <w:r>
        <w:rPr>
          <w:rFonts w:eastAsia="Times New Roman"/>
          <w:szCs w:val="24"/>
          <w:lang w:val="sr-Cyrl-RS" w:eastAsia="en-GB"/>
        </w:rPr>
        <w:t>]</w:t>
      </w:r>
      <w:r>
        <w:rPr>
          <w:rFonts w:eastAsia="Times New Roman"/>
          <w:szCs w:val="24"/>
          <w:lang w:val="sr-Latn-BA" w:eastAsia="en-GB"/>
        </w:rPr>
        <w:t>:</w:t>
      </w:r>
    </w:p>
    <w:p>
      <w:pPr>
        <w:shd w:val="clear" w:color="auto" w:fill="FFFFFF"/>
        <w:spacing w:after="0" w:line="360" w:lineRule="auto"/>
        <w:rPr>
          <w:rFonts w:eastAsia="Times New Roman"/>
          <w:szCs w:val="24"/>
          <w:lang w:val="sr-Latn-BA" w:eastAsia="en-GB"/>
        </w:rPr>
      </w:pPr>
      <w:bookmarkStart w:id="0" w:name="_GoBack"/>
      <w:bookmarkEnd w:id="0"/>
    </w:p>
    <w:p>
      <w:pPr>
        <w:pStyle w:val="ListParagraph"/>
        <w:numPr>
          <w:ilvl w:val="0"/>
          <w:numId w:val="6"/>
        </w:numPr>
        <w:spacing w:line="360" w:lineRule="auto"/>
        <w:jc w:val="left"/>
        <w:rPr>
          <w:rFonts w:ascii="Times New Roman" w:hAnsi="Times New Roman" w:cs="Times New Roman"/>
          <w:color w:val="000000"/>
          <w:sz w:val="24"/>
          <w:szCs w:val="24"/>
        </w:rPr>
      </w:pPr>
      <w:r>
        <w:rPr>
          <w:rStyle w:val="fontstyle01"/>
          <w:rFonts w:ascii="Times New Roman" w:hAnsi="Times New Roman" w:cs="Times New Roman"/>
          <w:sz w:val="24"/>
          <w:szCs w:val="24"/>
        </w:rPr>
        <w:t>S1 2 K 027624 18 K</w:t>
      </w:r>
    </w:p>
    <w:p>
      <w:pPr>
        <w:pStyle w:val="ListParagraph"/>
        <w:numPr>
          <w:ilvl w:val="0"/>
          <w:numId w:val="6"/>
        </w:numPr>
        <w:shd w:val="clear" w:color="auto" w:fill="FFFFFF"/>
        <w:spacing w:line="360" w:lineRule="auto"/>
        <w:jc w:val="left"/>
        <w:rPr>
          <w:rFonts w:ascii="Times New Roman" w:eastAsia="Times New Roman" w:hAnsi="Times New Roman" w:cs="Times New Roman"/>
          <w:sz w:val="24"/>
          <w:szCs w:val="24"/>
          <w:lang w:val="sr-Latn-BA" w:eastAsia="en-GB"/>
        </w:rPr>
      </w:pPr>
      <w:r>
        <w:rPr>
          <w:rFonts w:ascii="Times New Roman" w:hAnsi="Times New Roman" w:cs="Times New Roman"/>
          <w:sz w:val="24"/>
          <w:szCs w:val="24"/>
        </w:rPr>
        <w:t xml:space="preserve">S1 2 K 017901 17 </w:t>
      </w:r>
      <w:proofErr w:type="spellStart"/>
      <w:r>
        <w:rPr>
          <w:rFonts w:ascii="Times New Roman" w:hAnsi="Times New Roman" w:cs="Times New Roman"/>
          <w:sz w:val="24"/>
          <w:szCs w:val="24"/>
        </w:rPr>
        <w:t>Kžk</w:t>
      </w:r>
      <w:proofErr w:type="spellEnd"/>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S1 2 K 019373 15 K</w:t>
      </w:r>
    </w:p>
    <w:p>
      <w:pPr>
        <w:pStyle w:val="ListParagraph"/>
        <w:numPr>
          <w:ilvl w:val="0"/>
          <w:numId w:val="6"/>
        </w:numPr>
        <w:shd w:val="clear" w:color="auto" w:fill="FFFFFF"/>
        <w:spacing w:line="360" w:lineRule="auto"/>
        <w:jc w:val="left"/>
        <w:rPr>
          <w:rFonts w:ascii="Times New Roman" w:eastAsia="Times New Roman" w:hAnsi="Times New Roman" w:cs="Times New Roman"/>
          <w:sz w:val="24"/>
          <w:szCs w:val="24"/>
          <w:lang w:val="sr-Latn-BA" w:eastAsia="en-GB"/>
        </w:rPr>
      </w:pPr>
      <w:r>
        <w:rPr>
          <w:rFonts w:ascii="Times New Roman" w:hAnsi="Times New Roman" w:cs="Times New Roman"/>
          <w:sz w:val="24"/>
          <w:szCs w:val="24"/>
        </w:rPr>
        <w:t xml:space="preserve">S1 2 K 017901 17 </w:t>
      </w:r>
      <w:proofErr w:type="spellStart"/>
      <w:r>
        <w:rPr>
          <w:rFonts w:ascii="Times New Roman" w:hAnsi="Times New Roman" w:cs="Times New Roman"/>
          <w:sz w:val="24"/>
          <w:szCs w:val="24"/>
        </w:rPr>
        <w:t>Kž</w:t>
      </w:r>
      <w:proofErr w:type="spellEnd"/>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lastRenderedPageBreak/>
        <w:t xml:space="preserve">S1 2 K 023109 17 </w:t>
      </w:r>
      <w:proofErr w:type="spellStart"/>
      <w:r>
        <w:rPr>
          <w:rFonts w:ascii="Times New Roman" w:hAnsi="Times New Roman" w:cs="Times New Roman"/>
          <w:sz w:val="24"/>
          <w:szCs w:val="24"/>
        </w:rPr>
        <w:t>Kž</w:t>
      </w:r>
      <w:proofErr w:type="spellEnd"/>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lang w:val="sr-Latn-RS"/>
        </w:rPr>
        <w:t>S1 2 K 023109 16 K</w:t>
      </w:r>
    </w:p>
    <w:p>
      <w:pPr>
        <w:pStyle w:val="ListParagraph"/>
        <w:numPr>
          <w:ilvl w:val="0"/>
          <w:numId w:val="6"/>
        </w:numPr>
        <w:shd w:val="clear" w:color="auto" w:fill="FFFFFF"/>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S1 2 K 023545 17 </w:t>
      </w:r>
      <w:proofErr w:type="spellStart"/>
      <w:r>
        <w:rPr>
          <w:rFonts w:ascii="Times New Roman" w:hAnsi="Times New Roman" w:cs="Times New Roman"/>
          <w:sz w:val="24"/>
          <w:szCs w:val="24"/>
        </w:rPr>
        <w:t>Ko</w:t>
      </w:r>
      <w:proofErr w:type="spellEnd"/>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S1 2 K 020632 17 Kž,</w:t>
      </w:r>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S1 2 K 024459 17 K</w:t>
      </w:r>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S1 2 K 025666 17 K</w:t>
      </w:r>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S1 2 K 026064 17 </w:t>
      </w:r>
      <w:proofErr w:type="spellStart"/>
      <w:r>
        <w:rPr>
          <w:rFonts w:ascii="Times New Roman" w:hAnsi="Times New Roman" w:cs="Times New Roman"/>
          <w:sz w:val="24"/>
          <w:szCs w:val="24"/>
        </w:rPr>
        <w:t>Kž</w:t>
      </w:r>
      <w:proofErr w:type="spellEnd"/>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S1 2 K 026064 17 K</w:t>
      </w:r>
    </w:p>
    <w:p>
      <w:pPr>
        <w:pStyle w:val="ListParagraph"/>
        <w:numPr>
          <w:ilvl w:val="0"/>
          <w:numId w:val="6"/>
        </w:numPr>
        <w:spacing w:line="360" w:lineRule="auto"/>
        <w:jc w:val="left"/>
        <w:rPr>
          <w:rFonts w:ascii="Times New Roman" w:hAnsi="Times New Roman" w:cs="Times New Roman"/>
          <w:color w:val="000000"/>
          <w:sz w:val="24"/>
          <w:szCs w:val="24"/>
        </w:rPr>
      </w:pPr>
      <w:r>
        <w:rPr>
          <w:rFonts w:ascii="Times New Roman" w:hAnsi="Times New Roman" w:cs="Times New Roman"/>
          <w:sz w:val="24"/>
          <w:szCs w:val="24"/>
        </w:rPr>
        <w:t xml:space="preserve">S1 2 K 026155 17 </w:t>
      </w:r>
      <w:proofErr w:type="spellStart"/>
      <w:r>
        <w:rPr>
          <w:rFonts w:ascii="Times New Roman" w:hAnsi="Times New Roman" w:cs="Times New Roman"/>
          <w:sz w:val="24"/>
          <w:szCs w:val="24"/>
        </w:rPr>
        <w:t>Kž</w:t>
      </w:r>
      <w:proofErr w:type="spellEnd"/>
    </w:p>
    <w:p>
      <w:pPr>
        <w:pStyle w:val="ListParagraph"/>
        <w:numPr>
          <w:ilvl w:val="0"/>
          <w:numId w:val="6"/>
        </w:numPr>
        <w:spacing w:line="360" w:lineRule="auto"/>
        <w:jc w:val="left"/>
        <w:rPr>
          <w:rStyle w:val="fontstyle01"/>
          <w:rFonts w:ascii="Times New Roman" w:hAnsi="Times New Roman" w:cs="Times New Roman"/>
          <w:color w:val="auto"/>
          <w:sz w:val="24"/>
          <w:szCs w:val="24"/>
        </w:rPr>
      </w:pPr>
      <w:r>
        <w:rPr>
          <w:rStyle w:val="fontstyle01"/>
          <w:rFonts w:ascii="Times New Roman" w:hAnsi="Times New Roman" w:cs="Times New Roman"/>
          <w:sz w:val="24"/>
          <w:szCs w:val="24"/>
        </w:rPr>
        <w:t xml:space="preserve">S1 2 K 026684 17 </w:t>
      </w:r>
      <w:proofErr w:type="spellStart"/>
      <w:r>
        <w:rPr>
          <w:rStyle w:val="fontstyle01"/>
          <w:rFonts w:ascii="Times New Roman" w:hAnsi="Times New Roman" w:cs="Times New Roman"/>
          <w:sz w:val="24"/>
          <w:szCs w:val="24"/>
        </w:rPr>
        <w:t>Ko</w:t>
      </w:r>
      <w:proofErr w:type="spellEnd"/>
    </w:p>
    <w:p>
      <w:pPr>
        <w:pStyle w:val="ListParagraph"/>
        <w:numPr>
          <w:ilvl w:val="0"/>
          <w:numId w:val="6"/>
        </w:numPr>
        <w:spacing w:line="360" w:lineRule="auto"/>
        <w:jc w:val="left"/>
        <w:rPr>
          <w:rFonts w:ascii="Times New Roman" w:hAnsi="Times New Roman" w:cs="Times New Roman"/>
          <w:sz w:val="24"/>
          <w:szCs w:val="24"/>
        </w:rPr>
      </w:pPr>
      <w:r>
        <w:rPr>
          <w:rStyle w:val="fontstyle01"/>
          <w:rFonts w:ascii="Times New Roman" w:hAnsi="Times New Roman" w:cs="Times New Roman"/>
          <w:sz w:val="24"/>
          <w:szCs w:val="24"/>
        </w:rPr>
        <w:t>S1 2 K 014792 14 K</w:t>
      </w:r>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S1 2 K 006087 14 </w:t>
      </w:r>
      <w:proofErr w:type="spellStart"/>
      <w:r>
        <w:rPr>
          <w:rFonts w:ascii="Times New Roman" w:hAnsi="Times New Roman" w:cs="Times New Roman"/>
          <w:sz w:val="24"/>
          <w:szCs w:val="24"/>
        </w:rPr>
        <w:t>Kžk</w:t>
      </w:r>
      <w:proofErr w:type="spellEnd"/>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lang w:val="sr-Latn-RS"/>
        </w:rPr>
        <w:t>S1 2 K 025168 17 Ko</w:t>
      </w:r>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S1 2 K 021401 16 K</w:t>
      </w:r>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S1 2 K 023617 16 </w:t>
      </w:r>
      <w:proofErr w:type="spellStart"/>
      <w:r>
        <w:rPr>
          <w:rFonts w:ascii="Times New Roman" w:hAnsi="Times New Roman" w:cs="Times New Roman"/>
          <w:sz w:val="24"/>
          <w:szCs w:val="24"/>
        </w:rPr>
        <w:t>Ko</w:t>
      </w:r>
      <w:proofErr w:type="spellEnd"/>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S1 2 K 023838 16 K</w:t>
      </w:r>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S1 2 K 021292 16 K</w:t>
      </w:r>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S1 2 K 013756 15 </w:t>
      </w:r>
      <w:proofErr w:type="spellStart"/>
      <w:r>
        <w:rPr>
          <w:rFonts w:ascii="Times New Roman" w:hAnsi="Times New Roman" w:cs="Times New Roman"/>
          <w:sz w:val="24"/>
          <w:szCs w:val="24"/>
        </w:rPr>
        <w:t>Kž</w:t>
      </w:r>
      <w:proofErr w:type="spellEnd"/>
      <w:r>
        <w:rPr>
          <w:rFonts w:ascii="Times New Roman" w:hAnsi="Times New Roman" w:cs="Times New Roman"/>
          <w:sz w:val="24"/>
          <w:szCs w:val="24"/>
        </w:rPr>
        <w:t xml:space="preserve"> 3</w:t>
      </w:r>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S1 2 K 015384 17 </w:t>
      </w:r>
      <w:proofErr w:type="spellStart"/>
      <w:r>
        <w:rPr>
          <w:rFonts w:ascii="Times New Roman" w:hAnsi="Times New Roman" w:cs="Times New Roman"/>
          <w:sz w:val="24"/>
          <w:szCs w:val="24"/>
        </w:rPr>
        <w:t>Kž</w:t>
      </w:r>
      <w:proofErr w:type="spellEnd"/>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S1 2 K 019332 15 K</w:t>
      </w:r>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S1 2 K 013756 14 K</w:t>
      </w:r>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S1 2 K 006087 14 </w:t>
      </w:r>
      <w:proofErr w:type="spellStart"/>
      <w:r>
        <w:rPr>
          <w:rFonts w:ascii="Times New Roman" w:hAnsi="Times New Roman" w:cs="Times New Roman"/>
          <w:sz w:val="24"/>
          <w:szCs w:val="24"/>
        </w:rPr>
        <w:t>Kžk</w:t>
      </w:r>
      <w:proofErr w:type="spellEnd"/>
    </w:p>
    <w:p>
      <w:pPr>
        <w:pStyle w:val="ListParagraph"/>
        <w:numPr>
          <w:ilvl w:val="0"/>
          <w:numId w:val="6"/>
        </w:numPr>
        <w:spacing w:line="360" w:lineRule="auto"/>
        <w:jc w:val="left"/>
        <w:rPr>
          <w:rFonts w:ascii="Times New Roman" w:hAnsi="Times New Roman" w:cs="Times New Roman"/>
          <w:sz w:val="24"/>
          <w:szCs w:val="24"/>
        </w:rPr>
      </w:pPr>
      <w:r>
        <w:rPr>
          <w:rFonts w:ascii="Times New Roman" w:hAnsi="Times New Roman" w:cs="Times New Roman"/>
          <w:sz w:val="24"/>
          <w:szCs w:val="24"/>
        </w:rPr>
        <w:t>S1 2 K 006087 11 K.</w:t>
      </w:r>
    </w:p>
    <w:p/>
    <w:sect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inionPro-Regular">
    <w:altName w:val="MS Mincho"/>
    <w:panose1 w:val="00000000000000000000"/>
    <w:charset w:val="80"/>
    <w:family w:val="auto"/>
    <w:notTrueType/>
    <w:pitch w:val="default"/>
    <w:sig w:usb0="00000201" w:usb1="08070000" w:usb2="00000010" w:usb3="00000000" w:csb0="00020004"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spacing w:after="0" w:line="240" w:lineRule="auto"/>
        <w:jc w:val="both"/>
        <w:rPr>
          <w:lang w:val="sr-Latn-RS"/>
        </w:rPr>
      </w:pPr>
      <w:r>
        <w:rPr>
          <w:rStyle w:val="FootnoteReference"/>
          <w:sz w:val="20"/>
          <w:szCs w:val="20"/>
        </w:rPr>
        <w:footnoteRef/>
      </w:r>
      <w:r>
        <w:rPr>
          <w:sz w:val="20"/>
          <w:szCs w:val="20"/>
        </w:rPr>
        <w:t xml:space="preserve"> This paper was </w:t>
      </w:r>
      <w:r>
        <w:rPr>
          <w:sz w:val="20"/>
          <w:szCs w:val="20"/>
          <w:u w:val="single"/>
        </w:rPr>
        <w:t>presented</w:t>
      </w:r>
      <w:r>
        <w:rPr>
          <w:sz w:val="20"/>
          <w:szCs w:val="20"/>
        </w:rPr>
        <w:t xml:space="preserve"> at the conference </w:t>
      </w:r>
      <w:r>
        <w:rPr>
          <w:i/>
          <w:sz w:val="20"/>
          <w:szCs w:val="20"/>
        </w:rPr>
        <w:t>Criminal Justice and Security in Central and Eastern Europe: Perspectives of Rural Safety, Security and Rural Criminology</w:t>
      </w:r>
      <w:r>
        <w:rPr>
          <w:rFonts w:eastAsia="Calibri"/>
          <w:sz w:val="20"/>
          <w:szCs w:val="20"/>
          <w:shd w:val="clear" w:color="auto" w:fill="FFFFFF"/>
          <w:lang w:val="sr-Cyrl-BA"/>
        </w:rPr>
        <w:t>, Faculty of Criminal Justice and Security</w:t>
      </w:r>
      <w:r>
        <w:rPr>
          <w:rFonts w:eastAsia="Calibri"/>
          <w:sz w:val="20"/>
          <w:szCs w:val="20"/>
          <w:shd w:val="clear" w:color="auto" w:fill="FFFFFF"/>
        </w:rPr>
        <w:t xml:space="preserve">, </w:t>
      </w:r>
      <w:r>
        <w:rPr>
          <w:rFonts w:eastAsia="Calibri"/>
          <w:sz w:val="20"/>
          <w:szCs w:val="20"/>
          <w:shd w:val="clear" w:color="auto" w:fill="FFFFFF"/>
          <w:lang w:val="sr-Cyrl-BA"/>
        </w:rPr>
        <w:t>U</w:t>
      </w:r>
      <w:proofErr w:type="spellStart"/>
      <w:r>
        <w:rPr>
          <w:rFonts w:eastAsia="Calibri"/>
          <w:sz w:val="20"/>
          <w:szCs w:val="20"/>
          <w:shd w:val="clear" w:color="auto" w:fill="FFFFFF"/>
        </w:rPr>
        <w:t>niversity</w:t>
      </w:r>
      <w:proofErr w:type="spellEnd"/>
      <w:r>
        <w:rPr>
          <w:rFonts w:eastAsia="Calibri"/>
          <w:sz w:val="20"/>
          <w:szCs w:val="20"/>
          <w:shd w:val="clear" w:color="auto" w:fill="FFFFFF"/>
        </w:rPr>
        <w:t xml:space="preserve"> of Maribor. The conference was held from September 13</w:t>
      </w:r>
      <w:r>
        <w:rPr>
          <w:rFonts w:eastAsia="Calibri"/>
          <w:sz w:val="20"/>
          <w:szCs w:val="20"/>
          <w:shd w:val="clear" w:color="auto" w:fill="FFFFFF"/>
          <w:vertAlign w:val="superscript"/>
        </w:rPr>
        <w:t>th</w:t>
      </w:r>
      <w:r>
        <w:rPr>
          <w:sz w:val="20"/>
          <w:szCs w:val="20"/>
        </w:rPr>
        <w:t>–</w:t>
      </w:r>
      <w:r>
        <w:rPr>
          <w:rFonts w:eastAsia="Calibri"/>
          <w:sz w:val="20"/>
          <w:szCs w:val="20"/>
          <w:shd w:val="clear" w:color="auto" w:fill="FFFFFF"/>
        </w:rPr>
        <w:t>15</w:t>
      </w:r>
      <w:r>
        <w:rPr>
          <w:rFonts w:eastAsia="Calibri"/>
          <w:sz w:val="20"/>
          <w:szCs w:val="20"/>
          <w:shd w:val="clear" w:color="auto" w:fill="FFFFFF"/>
          <w:vertAlign w:val="superscript"/>
        </w:rPr>
        <w:t>th</w:t>
      </w:r>
      <w:r>
        <w:rPr>
          <w:rFonts w:eastAsia="Calibri"/>
          <w:sz w:val="20"/>
          <w:szCs w:val="20"/>
          <w:shd w:val="clear" w:color="auto" w:fill="FFFFFF"/>
        </w:rPr>
        <w:t>, 2021 (</w:t>
      </w:r>
      <w:proofErr w:type="spellStart"/>
      <w:r>
        <w:rPr>
          <w:rFonts w:eastAsia="Calibri"/>
          <w:sz w:val="20"/>
          <w:szCs w:val="20"/>
          <w:shd w:val="clear" w:color="auto" w:fill="FFFFFF"/>
        </w:rPr>
        <w:t>Šikman</w:t>
      </w:r>
      <w:proofErr w:type="spellEnd"/>
      <w:r>
        <w:rPr>
          <w:rFonts w:eastAsia="Calibri"/>
          <w:sz w:val="20"/>
          <w:szCs w:val="20"/>
          <w:shd w:val="clear" w:color="auto" w:fill="FFFFFF"/>
        </w:rPr>
        <w:t xml:space="preserve"> &amp; Lalić, 2021).</w:t>
      </w:r>
    </w:p>
  </w:footnote>
  <w:footnote w:id="2">
    <w:p>
      <w:pPr>
        <w:pStyle w:val="FootnoteText"/>
        <w:ind w:left="0"/>
        <w:rPr>
          <w:rFonts w:ascii="Times New Roman" w:hAnsi="Times New Roman" w:cs="Times New Roman"/>
          <w:lang w:val="sr-Latn-R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Cs w:val="21"/>
          <w:lang w:val="sr-Latn-RS"/>
        </w:rPr>
        <w:t>Available research indicates that although the forms of organized crime (though not all forms) manifested themselves in the pre-war SFRY (Petrović &amp; Dobovšek, 2007; Petrović &amp; Meško, 2008), the authorities did not recognize the existence of this criminal phenomenon, which was in fact a reflection of the then crime policies (Cf. Marinković, 2010: 68; Ignjatović &amp; Škulić, 2012: 80-95).</w:t>
      </w:r>
    </w:p>
  </w:footnote>
  <w:footnote w:id="3">
    <w:p>
      <w:pPr>
        <w:pStyle w:val="FootnoteText"/>
        <w:ind w:left="0"/>
        <w:rPr>
          <w:rFonts w:ascii="Times New Roman" w:hAnsi="Times New Roman" w:cs="Times New Roman"/>
          <w:lang w:val="sr-Latn-RS"/>
        </w:rPr>
      </w:pPr>
      <w:r>
        <w:rPr>
          <w:rStyle w:val="FootnoteReference"/>
          <w:rFonts w:ascii="Times New Roman" w:hAnsi="Times New Roman" w:cs="Times New Roman"/>
        </w:rPr>
        <w:footnoteRef/>
      </w:r>
      <w:r>
        <w:rPr>
          <w:rFonts w:ascii="Times New Roman" w:hAnsi="Times New Roman" w:cs="Times New Roman"/>
          <w:lang w:val="sr-Latn-RS"/>
        </w:rPr>
        <w:t xml:space="preserve"> </w:t>
      </w:r>
      <w:r>
        <w:rPr>
          <w:rFonts w:ascii="Times New Roman" w:hAnsi="Times New Roman" w:cs="Times New Roman"/>
          <w:lang w:val="sr-Latn-RS"/>
        </w:rPr>
        <w:t>Previous studies indicate that there are a total of 1,244,142 weapons in BiH, of which 1,098,762 (or 88.31%) are held by civilians, while within government institutions at the state and entity levels and athe level of the Brcko District of BiH there are 144,378. firearms (11.61%), while agencies which provide property and people protection services possess 1,002 weapons (0.08%) (Hadžović, Kržalić &amp; Mihajlović, 2011: 4).</w:t>
      </w:r>
    </w:p>
  </w:footnote>
  <w:footnote w:id="4">
    <w:p>
      <w:pPr>
        <w:pStyle w:val="FootnoteText"/>
        <w:ind w:left="0"/>
        <w:rPr>
          <w:rFonts w:ascii="Times New Roman" w:hAnsi="Times New Roman" w:cs="Times New Roman"/>
          <w:lang w:val="sr-Latn-RS"/>
        </w:rPr>
      </w:pPr>
      <w:r>
        <w:rPr>
          <w:rStyle w:val="FootnoteReference"/>
          <w:rFonts w:ascii="Times New Roman" w:hAnsi="Times New Roman" w:cs="Times New Roman"/>
        </w:rPr>
        <w:footnoteRef/>
      </w:r>
      <w:r>
        <w:rPr>
          <w:rFonts w:ascii="Times New Roman" w:hAnsi="Times New Roman" w:cs="Times New Roman"/>
          <w:lang w:val="sr-Latn-RS"/>
        </w:rPr>
        <w:t xml:space="preserve"> </w:t>
      </w:r>
      <w:r>
        <w:rPr>
          <w:rFonts w:ascii="Times New Roman" w:hAnsi="Times New Roman" w:cs="Times New Roman"/>
          <w:lang w:val="sr-Latn-RS"/>
        </w:rPr>
        <w:t>Fragmented legal and economic space and regional economic connections established in the war economy provided a unique set of opportunities for organized crime (Vijeće Evrope &amp; Evropska unija, 2006: 80).</w:t>
      </w:r>
    </w:p>
  </w:footnote>
  <w:footnote w:id="5">
    <w:p>
      <w:pPr>
        <w:pStyle w:val="NormalWeb"/>
        <w:spacing w:before="0" w:beforeAutospacing="0" w:after="0" w:afterAutospacing="0"/>
        <w:ind w:left="0"/>
        <w:rPr>
          <w:sz w:val="20"/>
          <w:szCs w:val="20"/>
          <w:lang w:val="sr-Latn-RS"/>
        </w:rPr>
      </w:pPr>
      <w:r>
        <w:rPr>
          <w:rStyle w:val="FootnoteReference"/>
          <w:sz w:val="20"/>
          <w:szCs w:val="20"/>
        </w:rPr>
        <w:footnoteRef/>
      </w:r>
      <w:r>
        <w:rPr>
          <w:sz w:val="20"/>
          <w:szCs w:val="20"/>
        </w:rPr>
        <w:t xml:space="preserve"> </w:t>
      </w:r>
      <w:r>
        <w:rPr>
          <w:sz w:val="20"/>
          <w:szCs w:val="20"/>
          <w:lang w:val="sr-Latn-RS"/>
        </w:rPr>
        <w:t xml:space="preserve">For example, BiH adopted and ratified the Convention against Transnational Organized Crime </w:t>
      </w:r>
      <w:r>
        <w:rPr>
          <w:color w:val="000000"/>
          <w:sz w:val="20"/>
          <w:szCs w:val="20"/>
        </w:rPr>
        <w:t>Palermo, 15.11.2000.)</w:t>
      </w:r>
      <w:r>
        <w:rPr>
          <w:sz w:val="20"/>
          <w:szCs w:val="20"/>
          <w:lang w:val="sr-Latn-RS"/>
        </w:rPr>
        <w:t xml:space="preserve">, which entered into force, in an international and internal sense, on September 29, 2003 </w:t>
      </w:r>
      <w:r>
        <w:rPr>
          <w:color w:val="000000"/>
          <w:sz w:val="20"/>
          <w:szCs w:val="20"/>
        </w:rPr>
        <w:t>(</w:t>
      </w:r>
      <w:proofErr w:type="spellStart"/>
      <w:r>
        <w:rPr>
          <w:color w:val="000000"/>
          <w:sz w:val="20"/>
          <w:szCs w:val="20"/>
        </w:rPr>
        <w:t>Službeni</w:t>
      </w:r>
      <w:proofErr w:type="spellEnd"/>
      <w:r>
        <w:rPr>
          <w:color w:val="000000"/>
          <w:sz w:val="20"/>
          <w:szCs w:val="20"/>
        </w:rPr>
        <w:t xml:space="preserve"> </w:t>
      </w:r>
      <w:proofErr w:type="spellStart"/>
      <w:r>
        <w:rPr>
          <w:color w:val="000000"/>
          <w:sz w:val="20"/>
          <w:szCs w:val="20"/>
        </w:rPr>
        <w:t>glasnik</w:t>
      </w:r>
      <w:proofErr w:type="spellEnd"/>
      <w:r>
        <w:rPr>
          <w:color w:val="000000"/>
          <w:sz w:val="20"/>
          <w:szCs w:val="20"/>
        </w:rPr>
        <w:t xml:space="preserve"> </w:t>
      </w:r>
      <w:proofErr w:type="spellStart"/>
      <w:r>
        <w:rPr>
          <w:color w:val="000000"/>
          <w:sz w:val="20"/>
          <w:szCs w:val="20"/>
        </w:rPr>
        <w:t>BiH</w:t>
      </w:r>
      <w:proofErr w:type="spellEnd"/>
      <w:r>
        <w:rPr>
          <w:color w:val="000000"/>
          <w:sz w:val="20"/>
          <w:szCs w:val="20"/>
        </w:rPr>
        <w:t xml:space="preserve"> </w:t>
      </w:r>
      <w:proofErr w:type="spellStart"/>
      <w:r>
        <w:rPr>
          <w:color w:val="000000"/>
          <w:sz w:val="20"/>
          <w:szCs w:val="20"/>
        </w:rPr>
        <w:t>broj</w:t>
      </w:r>
      <w:proofErr w:type="spellEnd"/>
      <w:r>
        <w:rPr>
          <w:color w:val="000000"/>
          <w:sz w:val="20"/>
          <w:szCs w:val="20"/>
        </w:rPr>
        <w:t>: 03/2002)</w:t>
      </w:r>
      <w:r>
        <w:rPr>
          <w:sz w:val="20"/>
          <w:szCs w:val="20"/>
          <w:lang w:val="sr-Latn-RS"/>
        </w:rPr>
        <w:t xml:space="preserve">; then Protocol against the Smuggling of Migrants by Land, Sea and Air, supplementing the UN Convention against Transnational Organized Crime, which entered into force, in an international and national sense, on January 28, 2004 </w:t>
      </w:r>
      <w:r>
        <w:rPr>
          <w:color w:val="000000"/>
          <w:sz w:val="20"/>
          <w:szCs w:val="20"/>
        </w:rPr>
        <w:t>(</w:t>
      </w:r>
      <w:proofErr w:type="spellStart"/>
      <w:r>
        <w:rPr>
          <w:color w:val="000000"/>
          <w:sz w:val="20"/>
          <w:szCs w:val="20"/>
        </w:rPr>
        <w:t>Službeni</w:t>
      </w:r>
      <w:proofErr w:type="spellEnd"/>
      <w:r>
        <w:rPr>
          <w:color w:val="000000"/>
          <w:sz w:val="20"/>
          <w:szCs w:val="20"/>
        </w:rPr>
        <w:t xml:space="preserve"> </w:t>
      </w:r>
      <w:proofErr w:type="spellStart"/>
      <w:r>
        <w:rPr>
          <w:color w:val="000000"/>
          <w:sz w:val="20"/>
          <w:szCs w:val="20"/>
        </w:rPr>
        <w:t>glasnik</w:t>
      </w:r>
      <w:proofErr w:type="spellEnd"/>
      <w:r>
        <w:rPr>
          <w:color w:val="000000"/>
          <w:sz w:val="20"/>
          <w:szCs w:val="20"/>
        </w:rPr>
        <w:t xml:space="preserve"> </w:t>
      </w:r>
      <w:proofErr w:type="spellStart"/>
      <w:r>
        <w:rPr>
          <w:color w:val="000000"/>
          <w:sz w:val="20"/>
          <w:szCs w:val="20"/>
        </w:rPr>
        <w:t>BiH</w:t>
      </w:r>
      <w:proofErr w:type="spellEnd"/>
      <w:r>
        <w:rPr>
          <w:color w:val="000000"/>
          <w:sz w:val="20"/>
          <w:szCs w:val="20"/>
        </w:rPr>
        <w:t xml:space="preserve">, </w:t>
      </w:r>
      <w:proofErr w:type="spellStart"/>
      <w:r>
        <w:rPr>
          <w:color w:val="000000"/>
          <w:sz w:val="20"/>
          <w:szCs w:val="20"/>
        </w:rPr>
        <w:t>broj</w:t>
      </w:r>
      <w:proofErr w:type="spellEnd"/>
      <w:r>
        <w:rPr>
          <w:color w:val="000000"/>
          <w:sz w:val="20"/>
          <w:szCs w:val="20"/>
        </w:rPr>
        <w:t xml:space="preserve">: 03/2002), </w:t>
      </w:r>
      <w:r>
        <w:rPr>
          <w:sz w:val="20"/>
          <w:szCs w:val="20"/>
          <w:lang w:val="sr-Latn-RS"/>
        </w:rPr>
        <w:t xml:space="preserve">and the Protocol to Prevent, Suppress and Punish Trafficking in Persons, Especially Women and Children, supplementing the UN Convention against Transnational Organized Crime which entered into force, in an international and national sense, on December 25, 2003 </w:t>
      </w:r>
      <w:r>
        <w:rPr>
          <w:color w:val="000000"/>
          <w:sz w:val="20"/>
          <w:szCs w:val="20"/>
        </w:rPr>
        <w:t>(</w:t>
      </w:r>
      <w:proofErr w:type="spellStart"/>
      <w:r>
        <w:rPr>
          <w:color w:val="000000"/>
          <w:sz w:val="20"/>
          <w:szCs w:val="20"/>
        </w:rPr>
        <w:t>Službeni</w:t>
      </w:r>
      <w:proofErr w:type="spellEnd"/>
      <w:r>
        <w:rPr>
          <w:color w:val="000000"/>
          <w:sz w:val="20"/>
          <w:szCs w:val="20"/>
        </w:rPr>
        <w:t xml:space="preserve"> </w:t>
      </w:r>
      <w:proofErr w:type="spellStart"/>
      <w:r>
        <w:rPr>
          <w:color w:val="000000"/>
          <w:sz w:val="20"/>
          <w:szCs w:val="20"/>
        </w:rPr>
        <w:t>glasnik</w:t>
      </w:r>
      <w:proofErr w:type="spellEnd"/>
      <w:r>
        <w:rPr>
          <w:color w:val="000000"/>
          <w:sz w:val="20"/>
          <w:szCs w:val="20"/>
        </w:rPr>
        <w:t xml:space="preserve"> </w:t>
      </w:r>
      <w:proofErr w:type="spellStart"/>
      <w:r>
        <w:rPr>
          <w:color w:val="000000"/>
          <w:sz w:val="20"/>
          <w:szCs w:val="20"/>
        </w:rPr>
        <w:t>BiH</w:t>
      </w:r>
      <w:proofErr w:type="spellEnd"/>
      <w:r>
        <w:rPr>
          <w:color w:val="000000"/>
          <w:sz w:val="20"/>
          <w:szCs w:val="20"/>
        </w:rPr>
        <w:t xml:space="preserve"> </w:t>
      </w:r>
      <w:proofErr w:type="spellStart"/>
      <w:r>
        <w:rPr>
          <w:color w:val="000000"/>
          <w:sz w:val="20"/>
          <w:szCs w:val="20"/>
        </w:rPr>
        <w:t>broj</w:t>
      </w:r>
      <w:proofErr w:type="spellEnd"/>
      <w:r>
        <w:rPr>
          <w:color w:val="000000"/>
          <w:sz w:val="20"/>
          <w:szCs w:val="20"/>
        </w:rPr>
        <w:t>: 03/2002).</w:t>
      </w:r>
    </w:p>
  </w:footnote>
  <w:footnote w:id="6">
    <w:p>
      <w:pPr>
        <w:pStyle w:val="FootnoteText"/>
        <w:ind w:left="0"/>
        <w:rPr>
          <w:rFonts w:ascii="Times New Roman" w:hAnsi="Times New Roman" w:cs="Times New Roman"/>
          <w:lang w:val="sr-Latn-RS"/>
        </w:rPr>
      </w:pPr>
      <w:r>
        <w:rPr>
          <w:rStyle w:val="FootnoteReference"/>
          <w:rFonts w:ascii="Times New Roman" w:hAnsi="Times New Roman" w:cs="Times New Roman"/>
        </w:rPr>
        <w:footnoteRef/>
      </w:r>
      <w:r>
        <w:rPr>
          <w:rFonts w:ascii="Times New Roman" w:hAnsi="Times New Roman" w:cs="Times New Roman"/>
        </w:rPr>
        <w:t xml:space="preserve"> The Criminal Code of </w:t>
      </w:r>
      <w:proofErr w:type="spellStart"/>
      <w:r>
        <w:rPr>
          <w:rFonts w:ascii="Times New Roman" w:hAnsi="Times New Roman" w:cs="Times New Roman"/>
        </w:rPr>
        <w:t>BiH</w:t>
      </w:r>
      <w:proofErr w:type="spellEnd"/>
      <w:r>
        <w:rPr>
          <w:rFonts w:ascii="Times New Roman" w:hAnsi="Times New Roman" w:cs="Times New Roman"/>
        </w:rPr>
        <w:t xml:space="preserve"> was adopted in 2003, which systematized provisions on organized crime (</w:t>
      </w:r>
      <w:proofErr w:type="spellStart"/>
      <w:r>
        <w:rPr>
          <w:rFonts w:ascii="Times New Roman" w:hAnsi="Times New Roman" w:cs="Times New Roman"/>
        </w:rPr>
        <w:t>Krivični</w:t>
      </w:r>
      <w:proofErr w:type="spellEnd"/>
      <w:r>
        <w:rPr>
          <w:rFonts w:ascii="Times New Roman" w:hAnsi="Times New Roman" w:cs="Times New Roman"/>
        </w:rPr>
        <w:t xml:space="preserve"> </w:t>
      </w:r>
      <w:proofErr w:type="spellStart"/>
      <w:r>
        <w:rPr>
          <w:rFonts w:ascii="Times New Roman" w:hAnsi="Times New Roman" w:cs="Times New Roman"/>
        </w:rPr>
        <w:t>zakon</w:t>
      </w:r>
      <w:proofErr w:type="spellEnd"/>
      <w:r>
        <w:rPr>
          <w:rFonts w:ascii="Times New Roman" w:hAnsi="Times New Roman" w:cs="Times New Roman"/>
        </w:rPr>
        <w:t xml:space="preserve"> </w:t>
      </w:r>
      <w:proofErr w:type="spellStart"/>
      <w:r>
        <w:rPr>
          <w:rFonts w:ascii="Times New Roman" w:hAnsi="Times New Roman" w:cs="Times New Roman"/>
        </w:rPr>
        <w:t>BiH</w:t>
      </w:r>
      <w:proofErr w:type="spellEnd"/>
      <w:r>
        <w:rPr>
          <w:rFonts w:ascii="Times New Roman" w:hAnsi="Times New Roman" w:cs="Times New Roman"/>
        </w:rPr>
        <w:t>, 2003).</w:t>
      </w:r>
    </w:p>
  </w:footnote>
  <w:footnote w:id="7">
    <w:p>
      <w:pPr>
        <w:pStyle w:val="FootnoteText"/>
        <w:ind w:left="0"/>
        <w:rPr>
          <w:rFonts w:ascii="Times New Roman" w:hAnsi="Times New Roman" w:cs="Times New Roman"/>
          <w:lang w:val="sr-Latn-RS"/>
        </w:rPr>
      </w:pPr>
      <w:r>
        <w:rPr>
          <w:rStyle w:val="FootnoteReference"/>
          <w:rFonts w:ascii="Times New Roman" w:hAnsi="Times New Roman" w:cs="Times New Roman"/>
        </w:rPr>
        <w:footnoteRef/>
      </w:r>
      <w:r>
        <w:rPr>
          <w:rFonts w:ascii="Times New Roman" w:hAnsi="Times New Roman" w:cs="Times New Roman"/>
          <w:lang w:val="sr-Latn-RS"/>
        </w:rPr>
        <w:t xml:space="preserve"> </w:t>
      </w:r>
      <w:r>
        <w:rPr>
          <w:rFonts w:ascii="Times New Roman" w:hAnsi="Times New Roman" w:cs="Times New Roman"/>
          <w:lang w:val="sr-Latn-RS"/>
        </w:rPr>
        <w:t>We primarily mean specialization within the judicial bodies and the police agencies in BiH.</w:t>
      </w:r>
    </w:p>
  </w:footnote>
  <w:footnote w:id="8">
    <w:p>
      <w:pPr>
        <w:pStyle w:val="FootnoteText"/>
        <w:ind w:left="0"/>
        <w:rPr>
          <w:rFonts w:ascii="Times New Roman" w:hAnsi="Times New Roman" w:cs="Times New Roman"/>
          <w:lang w:val="sr-Latn-RS"/>
        </w:rPr>
      </w:pPr>
      <w:r>
        <w:rPr>
          <w:rStyle w:val="FootnoteReference"/>
          <w:rFonts w:ascii="Times New Roman" w:hAnsi="Times New Roman" w:cs="Times New Roman"/>
        </w:rPr>
        <w:footnoteRef/>
      </w:r>
      <w:r>
        <w:rPr>
          <w:rFonts w:ascii="Times New Roman" w:hAnsi="Times New Roman" w:cs="Times New Roman"/>
          <w:lang w:val="sr-Latn-RS"/>
        </w:rPr>
        <w:t xml:space="preserve"> </w:t>
      </w:r>
      <w:r>
        <w:rPr>
          <w:rFonts w:ascii="Times New Roman" w:hAnsi="Times New Roman" w:cs="Times New Roman"/>
          <w:lang w:val="sr-Latn-RS"/>
        </w:rPr>
        <w:t xml:space="preserve">The </w:t>
      </w:r>
      <w:r>
        <w:rPr>
          <w:rFonts w:ascii="Times New Roman" w:hAnsi="Times New Roman" w:cs="Times New Roman"/>
          <w:lang w:val="sr-Latn-RS"/>
        </w:rPr>
        <w:t xml:space="preserve">conflict between two criminal clans from Montenegro, the so-called </w:t>
      </w:r>
      <w:r>
        <w:rPr>
          <w:rFonts w:ascii="Times New Roman" w:hAnsi="Times New Roman" w:cs="Times New Roman"/>
        </w:rPr>
        <w:t>“</w:t>
      </w:r>
      <w:r>
        <w:rPr>
          <w:rFonts w:ascii="Times New Roman" w:hAnsi="Times New Roman" w:cs="Times New Roman"/>
          <w:lang w:val="sr-Latn-RS"/>
        </w:rPr>
        <w:t>Kavački</w:t>
      </w:r>
      <w:r>
        <w:rPr>
          <w:rFonts w:ascii="Times New Roman" w:hAnsi="Times New Roman" w:cs="Times New Roman"/>
        </w:rPr>
        <w:t>”</w:t>
      </w:r>
      <w:r>
        <w:rPr>
          <w:rFonts w:ascii="Times New Roman" w:hAnsi="Times New Roman" w:cs="Times New Roman"/>
          <w:lang w:val="sr-Latn-RS"/>
        </w:rPr>
        <w:t xml:space="preserve"> and </w:t>
      </w:r>
      <w:r>
        <w:rPr>
          <w:rFonts w:ascii="Times New Roman" w:hAnsi="Times New Roman" w:cs="Times New Roman"/>
        </w:rPr>
        <w:t>“</w:t>
      </w:r>
      <w:r>
        <w:rPr>
          <w:rFonts w:ascii="Times New Roman" w:hAnsi="Times New Roman" w:cs="Times New Roman"/>
          <w:lang w:val="sr-Latn-RS"/>
        </w:rPr>
        <w:t>Škaljarski</w:t>
      </w:r>
      <w:r>
        <w:rPr>
          <w:rFonts w:ascii="Times New Roman" w:hAnsi="Times New Roman" w:cs="Times New Roman"/>
        </w:rPr>
        <w:t>”</w:t>
      </w:r>
      <w:r>
        <w:rPr>
          <w:rFonts w:ascii="Times New Roman" w:hAnsi="Times New Roman" w:cs="Times New Roman"/>
          <w:lang w:val="sr-Latn-RS"/>
        </w:rPr>
        <w:t xml:space="preserve"> clans,  is well known in the Western Balkans, and a number of members of the two clans have their helpers in the neighboring countries, primarily Serbia and BiH. Numerous murders, kidnappings and other violent offenses are connected to this perennial conflict.</w:t>
      </w:r>
    </w:p>
  </w:footnote>
  <w:footnote w:id="9">
    <w:p>
      <w:pPr>
        <w:spacing w:after="0" w:line="240" w:lineRule="auto"/>
        <w:jc w:val="both"/>
        <w:rPr>
          <w:lang w:val="sr-Latn-RS"/>
        </w:rPr>
      </w:pPr>
      <w:r>
        <w:rPr>
          <w:rStyle w:val="FootnoteReference"/>
          <w:sz w:val="20"/>
          <w:szCs w:val="20"/>
        </w:rPr>
        <w:footnoteRef/>
      </w:r>
      <w:r>
        <w:rPr>
          <w:sz w:val="20"/>
          <w:szCs w:val="20"/>
          <w:lang w:val="sr-Latn-RS"/>
        </w:rPr>
        <w:t xml:space="preserve"> </w:t>
      </w:r>
      <w:r>
        <w:rPr>
          <w:sz w:val="20"/>
          <w:szCs w:val="20"/>
        </w:rPr>
        <w:t>T</w:t>
      </w:r>
      <w:r>
        <w:rPr>
          <w:sz w:val="20"/>
          <w:szCs w:val="20"/>
          <w:lang w:val="bs-Latn-BA"/>
        </w:rPr>
        <w:t xml:space="preserve">his problem may be regarded as particularly pronounced, given that there is extensive judicial practice regarding organized crime in BiH, because criminal proceedings have been conducted for these crimes before the courts of all instances and jurisdictions since 2003 (Simović &amp; Šikman, 2019). </w:t>
      </w:r>
    </w:p>
  </w:footnote>
  <w:footnote w:id="10">
    <w:p>
      <w:pPr>
        <w:pStyle w:val="FootnoteText"/>
        <w:ind w:left="0"/>
        <w:rPr>
          <w:rFonts w:ascii="Times New Roman" w:hAnsi="Times New Roman" w:cs="Times New Roman"/>
          <w:lang w:val="sr-Latn-R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sr-Latn-RS"/>
        </w:rPr>
        <w:t>The data were collected through the website of the Court of BiH, in such a way that in the section Judicial Practice of BiH, the year was selected: 2018, 2017, 2016, 2015, Department: department II, Type of Judgment: First-Instance judgment (Sud BiH, n.d.).</w:t>
      </w:r>
    </w:p>
  </w:footnote>
  <w:footnote w:id="11">
    <w:p>
      <w:pPr>
        <w:spacing w:after="0" w:line="240" w:lineRule="auto"/>
      </w:pPr>
      <w:r>
        <w:rPr>
          <w:rStyle w:val="FootnoteReference"/>
          <w:sz w:val="20"/>
          <w:szCs w:val="20"/>
        </w:rPr>
        <w:footnoteRef/>
      </w:r>
      <w:r>
        <w:rPr>
          <w:sz w:val="20"/>
          <w:szCs w:val="20"/>
          <w:lang w:val="sr-Latn-RS"/>
        </w:rPr>
        <w:t xml:space="preserve"> </w:t>
      </w:r>
      <w:r>
        <w:rPr>
          <w:sz w:val="20"/>
          <w:szCs w:val="20"/>
          <w:shd w:val="clear" w:color="auto" w:fill="FFFFFF"/>
          <w:lang w:val="sr-Latn-RS"/>
        </w:rPr>
        <w:t xml:space="preserve">Interestingly, in two cases the organized criminal group consisted of parents and their children </w:t>
      </w:r>
      <w:r>
        <w:rPr>
          <w:sz w:val="20"/>
          <w:szCs w:val="20"/>
          <w:lang w:val="sr-Latn-RS"/>
        </w:rPr>
        <w:t>(</w:t>
      </w:r>
      <w:r>
        <w:rPr>
          <w:sz w:val="20"/>
          <w:szCs w:val="20"/>
        </w:rPr>
        <w:t xml:space="preserve">S1 2 K 023545 17 </w:t>
      </w:r>
      <w:proofErr w:type="spellStart"/>
      <w:r>
        <w:rPr>
          <w:sz w:val="20"/>
          <w:szCs w:val="20"/>
        </w:rPr>
        <w:t>Ko</w:t>
      </w:r>
      <w:proofErr w:type="spellEnd"/>
      <w:r>
        <w:rPr>
          <w:sz w:val="20"/>
          <w:szCs w:val="20"/>
          <w:lang w:val="sr-Latn-RS"/>
        </w:rPr>
        <w:t xml:space="preserve">.; </w:t>
      </w:r>
      <w:r>
        <w:rPr>
          <w:sz w:val="20"/>
          <w:szCs w:val="20"/>
        </w:rPr>
        <w:t>S1 2 K 017901 15 K)</w:t>
      </w:r>
      <w:r>
        <w:rPr>
          <w:sz w:val="20"/>
          <w:szCs w:val="20"/>
          <w:shd w:val="clear" w:color="auto" w:fill="FFFFFF"/>
          <w:lang w:val="sr-Latn-RS"/>
        </w:rPr>
        <w:t xml:space="preserve">. Although these were the only cases of this nature in the judgments analyzed, many studies show a substantial correlation between the criminal activity of parents and their children, and the possible implications should not be overlooked </w:t>
      </w:r>
      <w:r>
        <w:rPr>
          <w:sz w:val="20"/>
          <w:szCs w:val="20"/>
          <w:lang w:val="sr-Latn-RS"/>
        </w:rPr>
        <w:t xml:space="preserve">(van Dijk, </w:t>
      </w:r>
      <w:r>
        <w:rPr>
          <w:sz w:val="20"/>
          <w:szCs w:val="20"/>
          <w:shd w:val="clear" w:color="auto" w:fill="FFFFFF"/>
          <w:lang w:val="sr-Latn-RS"/>
        </w:rPr>
        <w:t>Kleemans, Eichelsheim, 2019).</w:t>
      </w:r>
    </w:p>
  </w:footnote>
  <w:footnote w:id="12">
    <w:p>
      <w:pPr>
        <w:pStyle w:val="FootnoteText"/>
        <w:rPr>
          <w:rFonts w:ascii="Times New Roman" w:hAnsi="Times New Roman" w:cs="Times New Roman"/>
          <w:lang w:val="sr-Latn-RS"/>
        </w:rPr>
      </w:pPr>
      <w:r>
        <w:rPr>
          <w:rStyle w:val="FootnoteReference"/>
          <w:rFonts w:ascii="Times New Roman" w:hAnsi="Times New Roman" w:cs="Times New Roman"/>
        </w:rPr>
        <w:footnoteRef/>
      </w:r>
      <w:r>
        <w:rPr>
          <w:rFonts w:ascii="Times New Roman" w:hAnsi="Times New Roman" w:cs="Times New Roman"/>
          <w:lang w:val="sr-Latn-RS"/>
        </w:rPr>
        <w:t xml:space="preserve"> </w:t>
      </w:r>
      <w:r>
        <w:rPr>
          <w:rFonts w:ascii="Times New Roman" w:hAnsi="Times New Roman" w:cs="Times New Roman"/>
          <w:bCs/>
          <w:lang w:val="sr-Latn-RS"/>
        </w:rPr>
        <w:t xml:space="preserve">In </w:t>
      </w:r>
      <w:r>
        <w:rPr>
          <w:rFonts w:ascii="Times New Roman" w:hAnsi="Times New Roman" w:cs="Times New Roman"/>
          <w:bCs/>
          <w:lang w:val="sr-Latn-RS"/>
        </w:rPr>
        <w:t>the court judgments analyzed, which included 44 convicted persons, only one female</w:t>
      </w:r>
      <w:r>
        <w:rPr>
          <w:rFonts w:ascii="Times New Roman" w:hAnsi="Times New Roman" w:cs="Times New Roman"/>
          <w:lang w:val="sr-Latn-RS"/>
        </w:rPr>
        <w:t xml:space="preserve"> was found (</w:t>
      </w:r>
      <w:r>
        <w:rPr>
          <w:rFonts w:ascii="Times New Roman" w:hAnsi="Times New Roman" w:cs="Times New Roman"/>
          <w:bCs/>
          <w:lang w:val="sr-Latn-RS"/>
        </w:rPr>
        <w:t>S1 2 K 017901 17 Kžk.</w:t>
      </w:r>
      <w:r>
        <w:rPr>
          <w:rFonts w:ascii="Times New Roman" w:hAnsi="Times New Roman" w:cs="Times New Roman"/>
          <w:lang w:val="sr-Latn-RS"/>
        </w:rPr>
        <w:t>).</w:t>
      </w:r>
      <w:r>
        <w:rPr>
          <w:rFonts w:ascii="Times New Roman" w:hAnsi="Times New Roman" w:cs="Times New Roman"/>
          <w:bCs/>
          <w:lang w:val="sr-Latn-RS"/>
        </w:rPr>
        <w:t xml:space="preserve">  </w:t>
      </w:r>
    </w:p>
  </w:footnote>
  <w:footnote w:id="13">
    <w:p>
      <w:pPr>
        <w:pStyle w:val="FootnoteText"/>
        <w:ind w:left="0"/>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sr-Latn-RS"/>
        </w:rPr>
        <w:t xml:space="preserve"> </w:t>
      </w:r>
      <w:r>
        <w:rPr>
          <w:rFonts w:ascii="Times New Roman" w:hAnsi="Times New Roman" w:cs="Times New Roman"/>
          <w:lang w:val="en"/>
        </w:rPr>
        <w:t xml:space="preserve">Thus, in the criminal case S 1 2 K 014792 14 K, the </w:t>
      </w:r>
      <w:proofErr w:type="spellStart"/>
      <w:r>
        <w:rPr>
          <w:rFonts w:ascii="Times New Roman" w:hAnsi="Times New Roman" w:cs="Times New Roman"/>
          <w:lang w:val="en"/>
        </w:rPr>
        <w:t>BiH</w:t>
      </w:r>
      <w:proofErr w:type="spellEnd"/>
      <w:r>
        <w:rPr>
          <w:rFonts w:ascii="Times New Roman" w:hAnsi="Times New Roman" w:cs="Times New Roman"/>
          <w:lang w:val="en"/>
        </w:rPr>
        <w:t xml:space="preserve"> </w:t>
      </w:r>
      <w:r>
        <w:rPr>
          <w:rFonts w:ascii="Times New Roman" w:hAnsi="Times New Roman" w:cs="Times New Roman"/>
        </w:rPr>
        <w:t>Prosecutor's</w:t>
      </w:r>
      <w:r>
        <w:rPr>
          <w:rFonts w:ascii="Times New Roman" w:hAnsi="Times New Roman" w:cs="Times New Roman"/>
          <w:lang w:val="en"/>
        </w:rPr>
        <w:t xml:space="preserve"> Office submitted an amended indictment charging the defendants with the criminal offense of </w:t>
      </w:r>
      <w:r>
        <w:rPr>
          <w:rFonts w:ascii="Times New Roman" w:hAnsi="Times New Roman" w:cs="Times New Roman"/>
          <w:lang w:val="sr-Latn-RS"/>
        </w:rPr>
        <w:t>International Procuring in Prostitution under Article 187, Paragraph 1 of the BiH CC</w:t>
      </w:r>
      <w:r>
        <w:rPr>
          <w:rFonts w:ascii="Times New Roman" w:hAnsi="Times New Roman" w:cs="Times New Roman"/>
          <w:lang w:val="sr-Latn-RS"/>
        </w:rPr>
        <w:t>.</w:t>
      </w:r>
    </w:p>
  </w:footnote>
  <w:footnote w:id="14">
    <w:p>
      <w:pPr>
        <w:pStyle w:val="FootnoteText"/>
        <w:rPr>
          <w:rFonts w:ascii="Times New Roman" w:hAnsi="Times New Roman" w:cs="Times New Roman"/>
          <w:lang w:val="sr-Latn-RS"/>
        </w:rPr>
      </w:pPr>
      <w:r>
        <w:rPr>
          <w:rStyle w:val="FootnoteReference"/>
          <w:rFonts w:ascii="Times New Roman" w:hAnsi="Times New Roman" w:cs="Times New Roman"/>
        </w:rPr>
        <w:footnoteRef/>
      </w:r>
      <w:r>
        <w:t xml:space="preserve"> </w:t>
      </w:r>
      <w:r>
        <w:rPr>
          <w:rFonts w:ascii="Times New Roman" w:hAnsi="Times New Roman" w:cs="Times New Roman"/>
          <w:lang w:val="sr-Latn-RS"/>
        </w:rPr>
        <w:t>“Benefits</w:t>
      </w:r>
      <w:r>
        <w:rPr>
          <w:rFonts w:ascii="Times New Roman" w:hAnsi="Times New Roman" w:cs="Times New Roman"/>
          <w:lang w:val="en-GB"/>
        </w:rPr>
        <w:t>”</w:t>
      </w:r>
      <w:r>
        <w:rPr>
          <w:rFonts w:ascii="Times New Roman" w:hAnsi="Times New Roman" w:cs="Times New Roman"/>
          <w:lang w:val="sr-Latn-RS"/>
        </w:rPr>
        <w:t xml:space="preserve"> are usually given to members of an organized criminal group who decide to cooperate with judicial bodies, which is prescibed by the law.</w:t>
      </w:r>
    </w:p>
  </w:footnote>
  <w:footnote w:id="1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sr-Latn-RS"/>
        </w:rPr>
        <w:t>This concept has often been criticized. For example, Woodiwiss (2000) states that there are two main problems with the global pluralistic theory of organized crime. “The first is that Mafia-type groups only participate in illegal markets, despite countless claims to the contrary, they rarely, if ever, control them. The second problem with the global pluralistic theory is that, like the Mafia conspiracy theory, it uses semantics to camouflage the involvement of respecable institutions in organized criminal activity. However, as a great deal of of historical and contemporary research shows, government agencies and key institutions, such as corporations, have frequently gained from and sometimes helped to sustain organized crime (Block &amp; Chambliss, 1981; Chambliss, 1978; Gardiner, 1970; McCoy, 1991; Pearce , 1976; Ravlinson, 1998; Ruggiero, 1996)</w:t>
      </w:r>
      <w:r>
        <w:rPr>
          <w:rFonts w:ascii="Times New Roman" w:hAnsi="Times New Roman" w:cs="Times New Roman"/>
          <w:lang w:val="en-GB"/>
        </w:rPr>
        <w:t>”</w:t>
      </w:r>
      <w:r>
        <w:rPr>
          <w:rFonts w:ascii="Times New Roman" w:hAnsi="Times New Roman" w:cs="Times New Roman"/>
          <w:lang w:val="sr-Latn-RS"/>
        </w:rPr>
        <w:t xml:space="preserve"> (as cited in Woodiwiss, 2000).</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F6381"/>
    <w:multiLevelType w:val="hybridMultilevel"/>
    <w:tmpl w:val="DE66AB3E"/>
    <w:lvl w:ilvl="0" w:tplc="298E8BE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2B44BA"/>
    <w:multiLevelType w:val="hybridMultilevel"/>
    <w:tmpl w:val="4E20A10A"/>
    <w:lvl w:ilvl="0" w:tplc="2C643F1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23A3C"/>
    <w:multiLevelType w:val="hybridMultilevel"/>
    <w:tmpl w:val="CDC21DC4"/>
    <w:lvl w:ilvl="0" w:tplc="5DF03CD2">
      <w:numFmt w:val="bullet"/>
      <w:lvlText w:val="-"/>
      <w:lvlJc w:val="left"/>
      <w:pPr>
        <w:ind w:left="1778" w:hanging="360"/>
      </w:pPr>
      <w:rPr>
        <w:rFonts w:ascii="Arial" w:eastAsia="Times New Roman" w:hAnsi="Arial" w:cs="Arial" w:hint="default"/>
      </w:rPr>
    </w:lvl>
    <w:lvl w:ilvl="1" w:tplc="08090003">
      <w:start w:val="1"/>
      <w:numFmt w:val="bullet"/>
      <w:lvlText w:val="o"/>
      <w:lvlJc w:val="left"/>
      <w:pPr>
        <w:ind w:left="2498" w:hanging="360"/>
      </w:pPr>
      <w:rPr>
        <w:rFonts w:ascii="Courier New" w:hAnsi="Courier New" w:cs="Courier New" w:hint="default"/>
      </w:rPr>
    </w:lvl>
    <w:lvl w:ilvl="2" w:tplc="08090005">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3" w15:restartNumberingAfterBreak="0">
    <w:nsid w:val="1E2D6181"/>
    <w:multiLevelType w:val="hybridMultilevel"/>
    <w:tmpl w:val="C8444F1E"/>
    <w:lvl w:ilvl="0" w:tplc="2C643F14">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1A72F48"/>
    <w:multiLevelType w:val="hybridMultilevel"/>
    <w:tmpl w:val="3982B2EA"/>
    <w:lvl w:ilvl="0" w:tplc="2C643F14">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E80453"/>
    <w:multiLevelType w:val="hybridMultilevel"/>
    <w:tmpl w:val="0144E244"/>
    <w:lvl w:ilvl="0" w:tplc="AE3EF73A">
      <w:start w:val="1"/>
      <w:numFmt w:val="decimal"/>
      <w:lvlText w:val="%1."/>
      <w:lvlJc w:val="left"/>
      <w:pPr>
        <w:ind w:left="360" w:hanging="360"/>
      </w:pPr>
      <w:rPr>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95D2FF0"/>
    <w:multiLevelType w:val="hybridMultilevel"/>
    <w:tmpl w:val="432C55C2"/>
    <w:lvl w:ilvl="0" w:tplc="72FA5C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831BBC"/>
    <w:multiLevelType w:val="hybridMultilevel"/>
    <w:tmpl w:val="F848A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362302"/>
    <w:multiLevelType w:val="hybridMultilevel"/>
    <w:tmpl w:val="5A1668C6"/>
    <w:lvl w:ilvl="0" w:tplc="2C643F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3030C5"/>
    <w:multiLevelType w:val="multilevel"/>
    <w:tmpl w:val="6DE44610"/>
    <w:lvl w:ilvl="0">
      <w:start w:val="1"/>
      <w:numFmt w:val="decimal"/>
      <w:lvlText w:val="%1."/>
      <w:lvlJc w:val="left"/>
      <w:pPr>
        <w:ind w:left="720" w:hanging="360"/>
      </w:pPr>
    </w:lvl>
    <w:lvl w:ilvl="1">
      <w:start w:val="11"/>
      <w:numFmt w:val="decimal"/>
      <w:isLgl/>
      <w:lvlText w:val="%1.%2."/>
      <w:lvlJc w:val="left"/>
      <w:pPr>
        <w:ind w:left="1404" w:hanging="1044"/>
      </w:pPr>
      <w:rPr>
        <w:rFonts w:hint="default"/>
      </w:rPr>
    </w:lvl>
    <w:lvl w:ilvl="2">
      <w:start w:val="2017"/>
      <w:numFmt w:val="decimal"/>
      <w:isLgl/>
      <w:lvlText w:val="%1.%2.%3."/>
      <w:lvlJc w:val="left"/>
      <w:pPr>
        <w:ind w:left="1404" w:hanging="1044"/>
      </w:pPr>
      <w:rPr>
        <w:rFonts w:hint="default"/>
      </w:rPr>
    </w:lvl>
    <w:lvl w:ilvl="3">
      <w:start w:val="1"/>
      <w:numFmt w:val="decimal"/>
      <w:isLgl/>
      <w:lvlText w:val="%1.%2.%3.%4."/>
      <w:lvlJc w:val="left"/>
      <w:pPr>
        <w:ind w:left="1404" w:hanging="1044"/>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E9F6B33"/>
    <w:multiLevelType w:val="hybridMultilevel"/>
    <w:tmpl w:val="896A23E6"/>
    <w:lvl w:ilvl="0" w:tplc="738078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0"/>
  </w:num>
  <w:num w:numId="4">
    <w:abstractNumId w:val="1"/>
  </w:num>
  <w:num w:numId="5">
    <w:abstractNumId w:val="6"/>
  </w:num>
  <w:num w:numId="6">
    <w:abstractNumId w:val="5"/>
  </w:num>
  <w:num w:numId="7">
    <w:abstractNumId w:val="9"/>
  </w:num>
  <w:num w:numId="8">
    <w:abstractNumId w:val="4"/>
  </w:num>
  <w:num w:numId="9">
    <w:abstractNumId w:val="3"/>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B4144D-BA4C-472F-94DB-D56D10B3E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ind w:left="170"/>
      <w:jc w:val="both"/>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imes New Roman"/>
      <w:b/>
      <w:bCs/>
      <w:kern w:val="36"/>
      <w:sz w:val="48"/>
      <w:szCs w:val="48"/>
    </w:rPr>
  </w:style>
  <w:style w:type="numbering" w:customStyle="1" w:styleId="NoList1">
    <w:name w:val="No List1"/>
    <w:next w:val="NoList"/>
    <w:uiPriority w:val="99"/>
    <w:semiHidden/>
    <w:unhideWhenUsed/>
  </w:style>
  <w:style w:type="paragraph" w:styleId="NormalWeb">
    <w:name w:val="Normal (Web)"/>
    <w:basedOn w:val="Normal"/>
    <w:uiPriority w:val="99"/>
    <w:unhideWhenUsed/>
    <w:pPr>
      <w:spacing w:before="100" w:beforeAutospacing="1" w:after="100" w:afterAutospacing="1" w:line="240" w:lineRule="auto"/>
      <w:ind w:left="170"/>
      <w:jc w:val="both"/>
    </w:pPr>
    <w:rPr>
      <w:rFonts w:eastAsia="Times New Roman"/>
      <w:szCs w:val="24"/>
      <w:lang w:eastAsia="en-GB"/>
    </w:rPr>
  </w:style>
  <w:style w:type="character" w:styleId="Emphasis">
    <w:name w:val="Emphasis"/>
    <w:basedOn w:val="DefaultParagraphFont"/>
    <w:uiPriority w:val="20"/>
    <w:qFormat/>
    <w:rPr>
      <w:i/>
      <w:iCs/>
    </w:rPr>
  </w:style>
  <w:style w:type="paragraph" w:styleId="FootnoteText">
    <w:name w:val="footnote text"/>
    <w:aliases w:val="Footnote Text Char1,Footnote Text Char Char,Fußnotentext Char Char2 Char,Char Char1 Char2 Char,Fußnotentext Char Char Char1 Char,Char Char1 Char Char1 Char,Fußnotentext Char Char Char Char Char,Char Char1 Char Char Char Char,Char Char Cha"/>
    <w:basedOn w:val="Normal"/>
    <w:link w:val="FootnoteTextChar"/>
    <w:uiPriority w:val="99"/>
    <w:unhideWhenUsed/>
    <w:pPr>
      <w:spacing w:after="0" w:line="240" w:lineRule="auto"/>
      <w:ind w:left="170"/>
      <w:jc w:val="both"/>
    </w:pPr>
    <w:rPr>
      <w:rFonts w:asciiTheme="minorHAnsi" w:hAnsiTheme="minorHAnsi" w:cstheme="minorBidi"/>
      <w:sz w:val="20"/>
      <w:szCs w:val="20"/>
    </w:rPr>
  </w:style>
  <w:style w:type="character" w:customStyle="1" w:styleId="FootnoteTextChar">
    <w:name w:val="Footnote Text Char"/>
    <w:aliases w:val="Footnote Text Char1 Char,Footnote Text Char Char Char,Fußnotentext Char Char2 Char Char,Char Char1 Char2 Char Char,Fußnotentext Char Char Char1 Char Char,Char Char1 Char Char1 Char Char,Fußnotentext Char Char Char Char Char Char"/>
    <w:basedOn w:val="DefaultParagraphFont"/>
    <w:link w:val="FootnoteText"/>
    <w:uiPriority w:val="99"/>
    <w:rPr>
      <w:rFonts w:asciiTheme="minorHAnsi" w:hAnsiTheme="minorHAnsi" w:cstheme="minorBidi"/>
      <w:sz w:val="20"/>
      <w:szCs w:val="20"/>
    </w:rPr>
  </w:style>
  <w:style w:type="character" w:styleId="FootnoteReference">
    <w:name w:val="footnote reference"/>
    <w:aliases w:val="fr,Footnote text,FZ,Footnotes refss,FUSNOTE"/>
    <w:basedOn w:val="DefaultParagraphFont"/>
    <w:uiPriority w:val="99"/>
    <w:unhideWhenUsed/>
    <w:rPr>
      <w:vertAlign w:val="superscript"/>
    </w:rPr>
  </w:style>
  <w:style w:type="paragraph" w:styleId="ListParagraph">
    <w:name w:val="List Paragraph"/>
    <w:basedOn w:val="Normal"/>
    <w:uiPriority w:val="34"/>
    <w:qFormat/>
    <w:pPr>
      <w:spacing w:after="0" w:line="240" w:lineRule="auto"/>
      <w:ind w:left="720"/>
      <w:contextualSpacing/>
      <w:jc w:val="both"/>
    </w:pPr>
    <w:rPr>
      <w:rFonts w:asciiTheme="minorHAnsi" w:hAnsiTheme="minorHAnsi" w:cstheme="minorBidi"/>
      <w:sz w:val="22"/>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pPr>
      <w:tabs>
        <w:tab w:val="center" w:pos="4513"/>
        <w:tab w:val="right" w:pos="9026"/>
      </w:tabs>
      <w:spacing w:after="0" w:line="240" w:lineRule="auto"/>
      <w:ind w:left="170"/>
      <w:jc w:val="both"/>
    </w:pPr>
    <w:rPr>
      <w:rFonts w:asciiTheme="minorHAnsi" w:eastAsiaTheme="minorEastAsia" w:hAnsiTheme="minorHAnsi" w:cstheme="minorBidi"/>
      <w:sz w:val="22"/>
      <w:lang w:val="bs-Latn-BA" w:eastAsia="zh-CN"/>
    </w:rPr>
  </w:style>
  <w:style w:type="character" w:customStyle="1" w:styleId="FooterChar">
    <w:name w:val="Footer Char"/>
    <w:basedOn w:val="DefaultParagraphFont"/>
    <w:link w:val="Footer"/>
    <w:uiPriority w:val="99"/>
    <w:rPr>
      <w:rFonts w:asciiTheme="minorHAnsi" w:eastAsiaTheme="minorEastAsia" w:hAnsiTheme="minorHAnsi" w:cstheme="minorBidi"/>
      <w:sz w:val="22"/>
      <w:lang w:val="bs-Latn-BA" w:eastAsia="zh-CN"/>
    </w:rPr>
  </w:style>
  <w:style w:type="paragraph" w:customStyle="1" w:styleId="normalboldcentar">
    <w:name w:val="normalboldcentar"/>
    <w:basedOn w:val="Normal"/>
    <w:pPr>
      <w:spacing w:before="100" w:beforeAutospacing="1" w:after="100" w:afterAutospacing="1" w:line="240" w:lineRule="auto"/>
      <w:ind w:left="170"/>
      <w:jc w:val="both"/>
    </w:pPr>
    <w:rPr>
      <w:rFonts w:eastAsia="Times New Roman"/>
      <w:szCs w:val="24"/>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ind w:left="170"/>
      <w:jc w:val="both"/>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hAnsiTheme="minorHAnsi" w:cstheme="minorBidi"/>
      <w:b/>
      <w:bCs/>
      <w:sz w:val="20"/>
      <w:szCs w:val="20"/>
    </w:rPr>
  </w:style>
  <w:style w:type="paragraph" w:styleId="BalloonText">
    <w:name w:val="Balloon Text"/>
    <w:basedOn w:val="Normal"/>
    <w:link w:val="BalloonTextChar"/>
    <w:uiPriority w:val="99"/>
    <w:semiHidden/>
    <w:unhideWhenUsed/>
    <w:pPr>
      <w:spacing w:after="0" w:line="240" w:lineRule="auto"/>
      <w:ind w:left="170"/>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ind w:left="170"/>
      <w:jc w:val="both"/>
    </w:pPr>
    <w:rPr>
      <w:rFonts w:asciiTheme="minorHAnsi" w:hAnsiTheme="minorHAnsi" w:cstheme="minorBidi"/>
      <w:sz w:val="22"/>
    </w:rPr>
  </w:style>
  <w:style w:type="character" w:customStyle="1" w:styleId="HeaderChar">
    <w:name w:val="Header Char"/>
    <w:basedOn w:val="DefaultParagraphFont"/>
    <w:link w:val="Header"/>
    <w:uiPriority w:val="99"/>
    <w:rPr>
      <w:rFonts w:asciiTheme="minorHAnsi" w:hAnsiTheme="minorHAnsi" w:cstheme="minorBidi"/>
      <w:sz w:val="22"/>
    </w:rPr>
  </w:style>
  <w:style w:type="paragraph" w:customStyle="1" w:styleId="Normal1">
    <w:name w:val="Normal1"/>
    <w:basedOn w:val="Normal"/>
    <w:pPr>
      <w:spacing w:before="100" w:beforeAutospacing="1" w:after="100" w:afterAutospacing="1" w:line="240" w:lineRule="auto"/>
      <w:ind w:left="170"/>
      <w:jc w:val="both"/>
    </w:pPr>
    <w:rPr>
      <w:rFonts w:eastAsia="Times New Roman"/>
      <w:szCs w:val="24"/>
    </w:rPr>
  </w:style>
  <w:style w:type="character" w:customStyle="1" w:styleId="fontstyle01">
    <w:name w:val="fontstyle01"/>
    <w:basedOn w:val="DefaultParagraphFont"/>
    <w:rPr>
      <w:rFonts w:ascii="CIDFont+F1" w:hAnsi="CIDFont+F1" w:hint="default"/>
      <w:b w:val="0"/>
      <w:bCs w:val="0"/>
      <w:i w:val="0"/>
      <w:iCs w:val="0"/>
      <w:color w:val="000000"/>
      <w:sz w:val="20"/>
      <w:szCs w:val="20"/>
    </w:rPr>
  </w:style>
  <w:style w:type="character" w:customStyle="1" w:styleId="product-banner-author">
    <w:name w:val="product-banner-author"/>
    <w:basedOn w:val="DefaultParagraphFont"/>
  </w:style>
  <w:style w:type="character" w:customStyle="1" w:styleId="product-banner-author-name">
    <w:name w:val="product-banner-author-name"/>
    <w:basedOn w:val="DefaultParagraphFont"/>
  </w:style>
  <w:style w:type="paragraph" w:styleId="Revision">
    <w:name w:val="Revision"/>
    <w:hidden/>
    <w:uiPriority w:val="99"/>
    <w:semiHidden/>
    <w:pPr>
      <w:spacing w:after="0" w:line="240" w:lineRule="auto"/>
      <w:ind w:left="170"/>
      <w:jc w:val="both"/>
    </w:pPr>
    <w:rPr>
      <w:rFonts w:asciiTheme="minorHAnsi" w:hAnsiTheme="minorHAnsi" w:cstheme="minorBidi"/>
      <w:sz w:val="22"/>
      <w:lang w:val="en-GB"/>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rPr>
  </w:style>
  <w:style w:type="character" w:customStyle="1" w:styleId="y2iqfc">
    <w:name w:val="y2iqfc"/>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6242">
      <w:bodyDiv w:val="1"/>
      <w:marLeft w:val="0"/>
      <w:marRight w:val="0"/>
      <w:marTop w:val="0"/>
      <w:marBottom w:val="0"/>
      <w:divBdr>
        <w:top w:val="none" w:sz="0" w:space="0" w:color="auto"/>
        <w:left w:val="none" w:sz="0" w:space="0" w:color="auto"/>
        <w:bottom w:val="none" w:sz="0" w:space="0" w:color="auto"/>
        <w:right w:val="none" w:sz="0" w:space="0" w:color="auto"/>
      </w:divBdr>
      <w:divsChild>
        <w:div w:id="372659366">
          <w:marLeft w:val="0"/>
          <w:marRight w:val="0"/>
          <w:marTop w:val="0"/>
          <w:marBottom w:val="0"/>
          <w:divBdr>
            <w:top w:val="none" w:sz="0" w:space="0" w:color="auto"/>
            <w:left w:val="none" w:sz="0" w:space="0" w:color="auto"/>
            <w:bottom w:val="none" w:sz="0" w:space="0" w:color="auto"/>
            <w:right w:val="none" w:sz="0" w:space="0" w:color="auto"/>
          </w:divBdr>
        </w:div>
        <w:div w:id="1832213404">
          <w:marLeft w:val="0"/>
          <w:marRight w:val="0"/>
          <w:marTop w:val="0"/>
          <w:marBottom w:val="0"/>
          <w:divBdr>
            <w:top w:val="none" w:sz="0" w:space="0" w:color="auto"/>
            <w:left w:val="none" w:sz="0" w:space="0" w:color="auto"/>
            <w:bottom w:val="none" w:sz="0" w:space="0" w:color="auto"/>
            <w:right w:val="none" w:sz="0" w:space="0" w:color="auto"/>
          </w:divBdr>
          <w:divsChild>
            <w:div w:id="1416710859">
              <w:marLeft w:val="0"/>
              <w:marRight w:val="165"/>
              <w:marTop w:val="150"/>
              <w:marBottom w:val="0"/>
              <w:divBdr>
                <w:top w:val="none" w:sz="0" w:space="0" w:color="auto"/>
                <w:left w:val="none" w:sz="0" w:space="0" w:color="auto"/>
                <w:bottom w:val="none" w:sz="0" w:space="0" w:color="auto"/>
                <w:right w:val="none" w:sz="0" w:space="0" w:color="auto"/>
              </w:divBdr>
              <w:divsChild>
                <w:div w:id="115952824">
                  <w:marLeft w:val="0"/>
                  <w:marRight w:val="0"/>
                  <w:marTop w:val="0"/>
                  <w:marBottom w:val="0"/>
                  <w:divBdr>
                    <w:top w:val="none" w:sz="0" w:space="0" w:color="auto"/>
                    <w:left w:val="none" w:sz="0" w:space="0" w:color="auto"/>
                    <w:bottom w:val="none" w:sz="0" w:space="0" w:color="auto"/>
                    <w:right w:val="none" w:sz="0" w:space="0" w:color="auto"/>
                  </w:divBdr>
                  <w:divsChild>
                    <w:div w:id="193744098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rconint.com/wp-content/uploads/2015/03/OK-u-BiH-BHS-verzija.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m.coe.int/16806ef39f" TargetMode="External"/><Relationship Id="rId5" Type="http://schemas.openxmlformats.org/officeDocument/2006/relationships/webSettings" Target="webSettings.xml"/><Relationship Id="rId10" Type="http://schemas.openxmlformats.org/officeDocument/2006/relationships/hyperlink" Target="https://www.unodc.org/documents/data-and-analysis/OC/Measuring-OC-in-WB.pdf" TargetMode="External"/><Relationship Id="rId4" Type="http://schemas.openxmlformats.org/officeDocument/2006/relationships/settings" Target="settings.xml"/><Relationship Id="rId9" Type="http://schemas.openxmlformats.org/officeDocument/2006/relationships/hyperlink" Target="https://eur-lex.europa.eu/legal-content/EN/TXT/HTML/?uri=CELEX:52016DC0448&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493C0-F866-450C-A10B-00ABBC3A1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6102</Words>
  <Characters>32587</Characters>
  <Application>Microsoft Office Word</Application>
  <DocSecurity>0</DocSecurity>
  <Lines>534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uiktadmin</cp:lastModifiedBy>
  <cp:revision>2</cp:revision>
  <dcterms:created xsi:type="dcterms:W3CDTF">2022-07-21T12:30:00Z</dcterms:created>
  <dcterms:modified xsi:type="dcterms:W3CDTF">2022-07-21T12:30:00Z</dcterms:modified>
</cp:coreProperties>
</file>