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E463B" w14:textId="77777777" w:rsidR="003E7959" w:rsidRDefault="003E7959" w:rsidP="003E7959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val="sr-Latn-CS" w:eastAsia="sr-Latn-CS"/>
        </w:rPr>
        <w:t>REFERENCES</w:t>
      </w:r>
    </w:p>
    <w:p w14:paraId="4879426A" w14:textId="77777777" w:rsidR="003E7959" w:rsidRDefault="003E7959" w:rsidP="003E7959">
      <w:pPr>
        <w:spacing w:after="0" w:line="360" w:lineRule="auto"/>
        <w:jc w:val="both"/>
        <w:rPr>
          <w:rFonts w:ascii="Times New Roman" w:eastAsia="Times New Roman" w:hAnsi="Times New Roman" w:cs="Times New Roman"/>
          <w:sz w:val="10"/>
          <w:szCs w:val="10"/>
          <w:lang w:val="sr-Latn-CS" w:eastAsia="sr-Latn-CS"/>
        </w:rPr>
      </w:pPr>
    </w:p>
    <w:p w14:paraId="6EF5B572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Author, V., Author, Z., &amp; Author, M. (2019a). Exploitation of minors for pornographic purposes - Sociodemographic and criminal profile of the perpetrator.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 xml:space="preserve">Journal of Criminalistics and Law, </w:t>
      </w:r>
      <w:r>
        <w:rPr>
          <w:rFonts w:ascii="Times New Roman" w:eastAsia="Times New Roman" w:hAnsi="Times New Roman" w:cs="Times New Roman"/>
          <w:iCs/>
          <w:sz w:val="24"/>
          <w:szCs w:val="24"/>
          <w:lang w:val="sr-Latn-CS" w:eastAsia="sr-Latn-CS"/>
        </w:rPr>
        <w:t>24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>(2), 29–44.</w:t>
      </w:r>
      <w:r>
        <w:rPr>
          <w:lang w:val="sr-Latn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>doi:10.5937/nabepo24-22247</w:t>
      </w:r>
    </w:p>
    <w:p w14:paraId="633EC78E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Author, V., Kolarević, D., &amp; Gojković, V. (2015). Spatio-temporal analysis of the criminal behavior of sexual offenders.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>Thematic Collection of Papers: Criminalistic and Forensic Processing of Crime Scenes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>. Academy of Criminalistic and Police Studies, Belgrade, 37–46.</w:t>
      </w:r>
    </w:p>
    <w:p w14:paraId="7A7A7736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Author, V., &amp; Lajić, O. (2017). Analysis of criminal behaviour of serial perpetrators of the crime of rape.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>Journal of Criminalistics and Law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>, 1, 33–51.</w:t>
      </w:r>
      <w:r>
        <w:rPr>
          <w:lang w:val="sr-Latn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RS" w:eastAsia="sr-Latn-CS"/>
        </w:rPr>
        <w:t>doi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>:10.5937/nabepo22-13316</w:t>
      </w:r>
    </w:p>
    <w:p w14:paraId="473C50A5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Author, V., Lajić, O., &amp; Author, Z. (2019b). Sexual fantasies of the rapist.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>Trames: Journal of the Humanities and Social Sciences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, 23(4), 439–454. </w:t>
      </w:r>
      <w:r>
        <w:fldChar w:fldCharType="begin"/>
      </w:r>
      <w:r>
        <w:instrText>HYPERLINK "https://doi.org/10.3176/tr.2019.4.04" \t "_new"</w:instrText>
      </w:r>
      <w:r>
        <w:fldChar w:fldCharType="separate"/>
      </w:r>
      <w:r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  <w:lang w:val="sr-Latn-CS" w:eastAsia="sr-Latn-CS"/>
        </w:rPr>
        <w:t>doi.org/10.3176/tr.2019.4.04</w:t>
      </w:r>
      <w:r>
        <w:fldChar w:fldCharType="end"/>
      </w:r>
    </w:p>
    <w:p w14:paraId="6FEEB7DC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Barnes, J. C., &amp; Beaver, K. M. (2012). Marriage and desistance from crime: A consideration of gene–environment correlation.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>Journal of Marriage and Family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, 74, 19–33. </w:t>
      </w:r>
      <w:r>
        <w:fldChar w:fldCharType="begin"/>
      </w:r>
      <w:r>
        <w:instrText>HYPERLINK "https://doi.org/10.1111/j.1741-3737.2011.00884.x" \t "_new"</w:instrText>
      </w:r>
      <w:r>
        <w:fldChar w:fldCharType="separate"/>
      </w:r>
      <w:r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  <w:lang w:val="sr-Latn-CS" w:eastAsia="sr-Latn-CS"/>
        </w:rPr>
        <w:t>doi.org/10.1111/j.1741-3737.2011.00884.x</w:t>
      </w:r>
      <w:r>
        <w:fldChar w:fldCharType="end"/>
      </w:r>
    </w:p>
    <w:p w14:paraId="34105EAB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Berger, E., &amp; Scheidegger, K. (2022). Sentence length and recidivism.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>Federal Sentencing Reporter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, 35(1), 59–72. </w:t>
      </w:r>
      <w:r>
        <w:fldChar w:fldCharType="begin"/>
      </w:r>
      <w:r>
        <w:instrText>HYPERLINK "https://doi.org/10.1525/fsr.2022.35.1.59" \t "_new"</w:instrText>
      </w:r>
      <w:r>
        <w:fldChar w:fldCharType="separate"/>
      </w:r>
      <w:r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  <w:lang w:val="sr-Latn-CS" w:eastAsia="sr-Latn-CS"/>
        </w:rPr>
        <w:t>doi.org/10.1525/fsr.2022.35.1.59</w:t>
      </w:r>
      <w:r>
        <w:fldChar w:fldCharType="end"/>
      </w:r>
    </w:p>
    <w:p w14:paraId="730CA7C0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Author, I. (2019). </w:t>
      </w:r>
      <w:proofErr w:type="spellStart"/>
      <w:r>
        <w:rPr>
          <w:rFonts w:ascii="Times New Roman" w:eastAsia="Calibri" w:hAnsi="Times New Roman" w:cs="Times New Roman"/>
          <w:i/>
          <w:sz w:val="24"/>
          <w:szCs w:val="24"/>
        </w:rPr>
        <w:t>Institut</w:t>
      </w:r>
      <w:proofErr w:type="spellEnd"/>
      <w:r>
        <w:rPr>
          <w:rFonts w:ascii="Times New Roman" w:eastAsia="Calibri" w:hAnsi="Times New Roman" w:cs="Times New Roman"/>
          <w:i/>
          <w:sz w:val="24"/>
          <w:szCs w:val="24"/>
        </w:rPr>
        <w:t xml:space="preserve"> „tri </w:t>
      </w:r>
      <w:proofErr w:type="spellStart"/>
      <w:proofErr w:type="gramStart"/>
      <w:r>
        <w:rPr>
          <w:rFonts w:ascii="Times New Roman" w:eastAsia="Calibri" w:hAnsi="Times New Roman" w:cs="Times New Roman"/>
          <w:i/>
          <w:sz w:val="24"/>
          <w:szCs w:val="24"/>
        </w:rPr>
        <w:t>udarca</w:t>
      </w:r>
      <w:proofErr w:type="spellEnd"/>
      <w:r>
        <w:rPr>
          <w:rFonts w:ascii="Times New Roman" w:eastAsia="Calibri" w:hAnsi="Times New Roman" w:cs="Times New Roman"/>
          <w:i/>
          <w:sz w:val="24"/>
          <w:szCs w:val="24"/>
        </w:rPr>
        <w:t>“ -</w:t>
      </w:r>
      <w:proofErr w:type="gramEnd"/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i/>
          <w:sz w:val="24"/>
          <w:szCs w:val="24"/>
        </w:rPr>
        <w:t>opravdanost</w:t>
      </w:r>
      <w:proofErr w:type="spellEnd"/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i/>
          <w:sz w:val="24"/>
          <w:szCs w:val="24"/>
        </w:rPr>
        <w:t>ili</w:t>
      </w:r>
      <w:proofErr w:type="spellEnd"/>
      <w:r>
        <w:rPr>
          <w:rFonts w:ascii="Times New Roman" w:eastAsia="Calibri" w:hAnsi="Times New Roman" w:cs="Times New Roman"/>
          <w:i/>
          <w:sz w:val="24"/>
          <w:szCs w:val="24"/>
        </w:rPr>
        <w:t xml:space="preserve"> ne</w:t>
      </w:r>
      <w:r>
        <w:rPr>
          <w:rFonts w:ascii="Times New Roman" w:eastAsia="Calibri" w:hAnsi="Times New Roman" w:cs="Times New Roman"/>
          <w:sz w:val="24"/>
          <w:szCs w:val="24"/>
        </w:rPr>
        <w:t xml:space="preserve">. In S.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Bejatović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(Ed.),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Izmene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krivičnom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zakonodavstvu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statusu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nosilaca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pravosudnih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funkcija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adekvatnost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državne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reakcije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kriminalitet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međunarodni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pravni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standardi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stanje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Srbiji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) (pp. 271-284). Zlatibor: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Intermex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Srpsko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udruženje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krivičnopravnu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teoriju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praksu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78C6497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Bonta, J., Blais, J., &amp; Wilson, H. A. (2014). A theoretically informed meta-analysis of the risk for general and violent recidivism for mentally disordered offenders.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>Aggression and Violent Behavior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, 19(3), 278–287. </w:t>
      </w:r>
      <w:r>
        <w:fldChar w:fldCharType="begin"/>
      </w:r>
      <w:r>
        <w:instrText>HYPERLINK "https://doi.org/10.1016/j.avb.2014.04.014" \t "_new"</w:instrText>
      </w:r>
      <w:r>
        <w:fldChar w:fldCharType="separate"/>
      </w:r>
      <w:r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  <w:lang w:val="sr-Latn-CS" w:eastAsia="sr-Latn-CS"/>
        </w:rPr>
        <w:t>doi.org/10.1016/j.avb.2014.04.014</w:t>
      </w:r>
      <w:r>
        <w:fldChar w:fldCharType="end"/>
      </w:r>
    </w:p>
    <w:p w14:paraId="6FFBC7CC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Coulter, D. J., &amp; Lloyd, C. D. (2023). Using a reassessment framework to determine critical case management needs: DRAOR improves on LS/RNR’s predictive discrimination of short-term recidivism.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 xml:space="preserve">Psychology, Crime &amp; Law, </w:t>
      </w:r>
      <w:r>
        <w:rPr>
          <w:rFonts w:ascii="Times New Roman" w:eastAsia="Times New Roman" w:hAnsi="Times New Roman" w:cs="Times New Roman"/>
          <w:iCs/>
          <w:sz w:val="24"/>
          <w:szCs w:val="24"/>
          <w:lang w:val="sr-Latn-CS" w:eastAsia="sr-Latn-CS"/>
        </w:rPr>
        <w:t>30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(9), 1180–1200. </w:t>
      </w:r>
      <w:r>
        <w:fldChar w:fldCharType="begin"/>
      </w:r>
      <w:r>
        <w:instrText>HYPERLINK "https://doi.org/10.1080/1068316X.2023.2166506" \t "_new"</w:instrText>
      </w:r>
      <w:r>
        <w:fldChar w:fldCharType="separate"/>
      </w:r>
      <w:r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  <w:lang w:val="sr-Latn-CS" w:eastAsia="sr-Latn-CS"/>
        </w:rPr>
        <w:t>doi.org/10.1080/1068316X.2023.2166506</w:t>
      </w:r>
      <w:r>
        <w:fldChar w:fldCharType="end"/>
      </w:r>
    </w:p>
    <w:p w14:paraId="292CE03C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Craig, L. A., Browne, K. D., &amp; Beech, A. (2008).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>Assessing risk in sex offenders: A practitioner’s guide.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 Wiley-Blackwell.</w:t>
      </w:r>
    </w:p>
    <w:p w14:paraId="39A332D7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lastRenderedPageBreak/>
        <w:t>Criminal Code of the Republic of Serbia (Official Gazette of RS, Nos. 85/2005, 88/2005 - corr., 107/2005 - corr., 72/2009, 111/2009, 121/2012, 104/2013, 108/2014, 94/2016, 35/2019, 37/2019 - corr.) (Belgrade: Official Gazette of the Republic of Serbia).</w:t>
      </w:r>
    </w:p>
    <w:p w14:paraId="44E2422A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DeLisi, M., Drury, A. J., &amp; Elbert, M. J. (2019). Do behavioral disorders render gang status spurious? New insights.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>International Journal of Law and Psychiatry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, 62, 117–124. </w:t>
      </w:r>
      <w:r>
        <w:fldChar w:fldCharType="begin"/>
      </w:r>
      <w:r>
        <w:instrText>HYPERLINK "https://doi.org/10.1016/j.ijlp.2018.12.007" \t "_new"</w:instrText>
      </w:r>
      <w:r>
        <w:fldChar w:fldCharType="separate"/>
      </w:r>
      <w:r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  <w:lang w:val="sr-Latn-CS" w:eastAsia="sr-Latn-CS"/>
        </w:rPr>
        <w:t>doi.org/10.1016/j.ijlp.2018.12.007</w:t>
      </w:r>
      <w:r>
        <w:fldChar w:fldCharType="end"/>
      </w:r>
    </w:p>
    <w:p w14:paraId="371119DA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Đorđević, Đ., Author, I. (2020). </w:t>
      </w:r>
      <w:r>
        <w:rPr>
          <w:rFonts w:ascii="Times New Roman" w:eastAsia="Calibri" w:hAnsi="Times New Roman" w:cs="Times New Roman"/>
          <w:sz w:val="24"/>
          <w:szCs w:val="24"/>
        </w:rPr>
        <w:t xml:space="preserve">A New legal solution on recidivism in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serbian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criminal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legislationa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i/>
          <w:sz w:val="24"/>
          <w:szCs w:val="24"/>
        </w:rPr>
        <w:t>NBP</w:t>
      </w:r>
      <w:r>
        <w:rPr>
          <w:rFonts w:ascii="Times New Roman" w:eastAsia="Calibri" w:hAnsi="Times New Roman" w:cs="Times New Roman"/>
          <w:sz w:val="24"/>
          <w:szCs w:val="24"/>
        </w:rPr>
        <w:t xml:space="preserve"> - Journal of Criminalistics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an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Law, 25(3), 71-85</w:t>
      </w:r>
      <w:r>
        <w:rPr>
          <w:sz w:val="27"/>
          <w:szCs w:val="27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doi:10.5937/nabepo25-30459</w:t>
      </w:r>
    </w:p>
    <w:p w14:paraId="26199CCF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Đorđević, Đ., &amp; Author, I. (2024). </w:t>
      </w:r>
      <w:r>
        <w:rPr>
          <w:rFonts w:ascii="Times New Roman" w:eastAsia="Times New Roman" w:hAnsi="Times New Roman" w:cs="Times New Roman"/>
          <w:i/>
          <w:sz w:val="24"/>
          <w:szCs w:val="24"/>
          <w:lang w:val="sr-Latn-CS" w:eastAsia="sr-Latn-CS"/>
        </w:rPr>
        <w:t>Krivično pravo-posebni deo.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 Beograd: Kriminalističko-policijski univerzitet.</w:t>
      </w:r>
    </w:p>
    <w:p w14:paraId="3FA17828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Eisenberg, M. J., Van Horn, J. E., Dekker, J. M., Assink, M., Van Der Put, C. E., Hendriks, J., &amp; Stams, G. J. J. (2019). Static and dynamic predictors of general and violent criminal offense recidivism in the forensic outpatient population: A meta-analysis.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>Criminal Justice and Behavior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, 46(5), 732–750. </w:t>
      </w:r>
      <w:hyperlink r:id="rId4" w:tgtFrame="_new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sr-Latn-CS" w:eastAsia="sr-Latn-CS"/>
          </w:rPr>
          <w:t>doi.org/10.1177/00938548198261</w:t>
        </w:r>
      </w:hyperlink>
    </w:p>
    <w:p w14:paraId="308B70E5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Farrington, D. P. (2003). Developmental and life-course criminology: Key theoretical and empirical issues the 2002 Sutherland Award Address.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>Criminology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>, 41(2), 221–255.</w:t>
      </w:r>
    </w:p>
    <w:p w14:paraId="7076DD47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Farrington, D. P., Coid, J., &amp; West, D. (2009). The development of offending from age 8 to age 50: Recent results from the Cambridge study in delinquent development.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>Monatsschrift fur Kriminologie und Strafrechtsreform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, 92(2–3), 160–173. </w:t>
      </w:r>
      <w:hyperlink r:id="rId5" w:tgtFrame="_new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sr-Latn-CS" w:eastAsia="sr-Latn-CS"/>
          </w:rPr>
          <w:t>doi.org/10.1515/mks-2</w:t>
        </w:r>
      </w:hyperlink>
    </w:p>
    <w:p w14:paraId="1B13CFB3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Farrington, D. P., Gallagher, B., Morley, L., Ledger, R. J. S., &amp; West, D. J. (2018). Unemployment, school leaving, and crime.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>The British Journal of Criminology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, 26(4), 335–356. </w:t>
      </w:r>
      <w:hyperlink r:id="rId6" w:tgtFrame="_new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sr-Latn-CS" w:eastAsia="sr-Latn-CS"/>
          </w:rPr>
          <w:t>doi.org/10.4324/9781315085081</w:t>
        </w:r>
      </w:hyperlink>
    </w:p>
    <w:p w14:paraId="6213D6E0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Hanson, R. K., Bourgon, G., Helmus, L., &amp; Hodgson, S. (2009). The principles of effective correctional treatment also apply to sexual offenders: A meta-analysis.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>Criminal Justice and Behavior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>, 36(9), 865–891.</w:t>
      </w:r>
      <w:r>
        <w:rPr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doi.org/10.1177/0093854809338545</w:t>
      </w:r>
    </w:p>
    <w:p w14:paraId="2E2728D7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Hanson, R. K., &amp; Morton-Bourgon, K. E. (2005). The characteristics of persistent sexual offenders: A meta-analysis of recidivism studies.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>Journal of Consulting and Clinical Psychology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, 73(6), 1154–1163. </w:t>
      </w:r>
      <w:hyperlink r:id="rId7" w:tgtFrame="_new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sr-Latn-CS" w:eastAsia="sr-Latn-CS"/>
          </w:rPr>
          <w:t>doi.org/10.1037/0022-006X.73.6.1154</w:t>
        </w:r>
      </w:hyperlink>
    </w:p>
    <w:p w14:paraId="2F56954D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Harris, A. J. R., &amp; Hanson, R. K. (2004).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>Sex offender recidivism: A simple question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>. Ottawa, Ontario, Canada: Public Safety and Emergency Preparedness Canada.</w:t>
      </w:r>
    </w:p>
    <w:p w14:paraId="27AA729B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Holliday, S. B., Heil, P., Jeglic, E., &amp; Calkins, C. (2022). Sexual recidivism and age: A review of findings and implications.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>Sexual Abuse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>, 34(1), 24–47.</w:t>
      </w:r>
    </w:p>
    <w:p w14:paraId="50FB70A9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lastRenderedPageBreak/>
        <w:t xml:space="preserve">IBM Corp. (2015).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>IBM SPSS Statistics for Windows, Version 23.0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>. IBM Corp.</w:t>
      </w:r>
    </w:p>
    <w:p w14:paraId="591DE0C1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Juszczak, D., &amp; Korzeniewski, K. (2016). Analiza wybranych czynników psychospołecznych i psychopatologicznych u sprawców przestępstw seksualnych z trwałymi anomaliami osobowości.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 xml:space="preserve">Seksuologia Polska, </w:t>
      </w:r>
      <w:r>
        <w:rPr>
          <w:rFonts w:ascii="Times New Roman" w:eastAsia="Times New Roman" w:hAnsi="Times New Roman" w:cs="Times New Roman"/>
          <w:iCs/>
          <w:sz w:val="24"/>
          <w:szCs w:val="24"/>
          <w:lang w:val="sr-Latn-CS" w:eastAsia="sr-Latn-CS"/>
        </w:rPr>
        <w:t>14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(1), 13–18. </w:t>
      </w:r>
      <w:hyperlink r:id="rId8" w:tgtFrame="_new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sr-Latn-CS" w:eastAsia="sr-Latn-CS"/>
          </w:rPr>
          <w:t>doi.org/10.5603/SP.2016.0002</w:t>
        </w:r>
      </w:hyperlink>
    </w:p>
    <w:p w14:paraId="6A443263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KalaAuthorn, S., Kamaluddin, M. R., Abdullah, H., &amp; Singh, P. S. J. (2025). Psychosocial determinants of recidivism risk among incarcerated individuals with a history of substance use: A systematic review.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 xml:space="preserve">PLOS ONE, </w:t>
      </w:r>
      <w:r>
        <w:rPr>
          <w:rFonts w:ascii="Times New Roman" w:eastAsia="Times New Roman" w:hAnsi="Times New Roman" w:cs="Times New Roman"/>
          <w:iCs/>
          <w:sz w:val="24"/>
          <w:szCs w:val="24"/>
          <w:lang w:val="sr-Latn-CS" w:eastAsia="sr-Latn-CS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(7), e0327810. </w:t>
      </w:r>
      <w:hyperlink r:id="rId9" w:tgtFrame="_new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sr-Latn-CS" w:eastAsia="sr-Latn-CS"/>
          </w:rPr>
          <w:t>doi.org/10.1371/journal.pone.0327810</w:t>
        </w:r>
      </w:hyperlink>
    </w:p>
    <w:p w14:paraId="554DFDD8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Lajić, O., Author, V., &amp; Tomić, M. (2022). Real rape stereotype: Between knowledge and beliefs.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>Journal of Criminalistics and Law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, 27(3), 46–57. </w:t>
      </w:r>
      <w:hyperlink r:id="rId10" w:tgtFrame="_new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sr-Latn-CS" w:eastAsia="sr-Latn-CS"/>
          </w:rPr>
          <w:t>doi.org/10.5937/nabepo27-37491</w:t>
        </w:r>
      </w:hyperlink>
    </w:p>
    <w:p w14:paraId="2C10274E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Langan, P., Schmitt, E., &amp; Durose, M. (2003). Recidivism of sex offenders released from prison in 1994. Washington, DC: U.S. Department of Justice, Office of Justice Programs, Bureau of Justice Statistics. </w:t>
      </w:r>
    </w:p>
    <w:p w14:paraId="02C09B07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Leymon, M. G., Campbell, C. M., Henning, K., &amp; Renauer, B. C. (2022). The impacts of length of prison stay on recidivism of non-violent offenders in Oregon.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>Journal of Criminal Justice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, 82, Article 102002. </w:t>
      </w:r>
      <w:hyperlink r:id="rId11" w:tgtFrame="_new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sr-Latn-CS" w:eastAsia="sr-Latn-CS"/>
          </w:rPr>
          <w:t>doi.org/10.1016/j.jcrimjus.2022.102002</w:t>
        </w:r>
      </w:hyperlink>
    </w:p>
    <w:p w14:paraId="32081E28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Lussier, P., &amp; Blokland, A. A. J. (2017). A developmental life-course perspective of juvenile and adult sexual offending. In T. Sanders (Ed.),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>The Oxford handbook of sex offences and sex offenders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 (pp. 241–269). Oxford University Press.</w:t>
      </w:r>
    </w:p>
    <w:p w14:paraId="7C79AA5D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Lussier, P., Chouinard Thivierge, S., Fréchette, J., &amp; Proulx, J. (2024). Sex offender recidivism: Some lessons learned from over 70 years of research.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>Criminal Justice Review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, 49(4), 413–452. </w:t>
      </w:r>
      <w:hyperlink r:id="rId12" w:tgtFrame="_new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sr-Latn-CS" w:eastAsia="sr-Latn-CS"/>
          </w:rPr>
          <w:t>doi.org/10.1177/07340168231157385</w:t>
        </w:r>
      </w:hyperlink>
    </w:p>
    <w:p w14:paraId="6289ADB7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Lussier, P., McCuish, E., Proulx, J., &amp; Jeglic, E. (2023). Against all odds: The sexual recidivism drop in Canada and the United States.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>Crime and Justice</w:t>
      </w:r>
      <w:r>
        <w:rPr>
          <w:rFonts w:ascii="Times New Roman" w:eastAsia="Times New Roman" w:hAnsi="Times New Roman" w:cs="Times New Roman"/>
          <w:iCs/>
          <w:sz w:val="24"/>
          <w:szCs w:val="24"/>
          <w:lang w:val="sr-Latn-CS" w:eastAsia="sr-Latn-CS"/>
        </w:rPr>
        <w:t>, 52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>, 1–28.</w:t>
      </w:r>
      <w:r>
        <w:rPr>
          <w:lang w:val="sr-Latn-RS"/>
        </w:rPr>
        <w:t xml:space="preserve"> </w:t>
      </w:r>
      <w:hyperlink r:id="rId13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sr-Latn-CS"/>
          </w:rPr>
          <w:t>doi.org/10.1086/727028</w:t>
        </w:r>
      </w:hyperlink>
    </w:p>
    <w:p w14:paraId="56DA301A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Lussier, P., McCuish, E., St-Pierre, E., &amp; Baguet, A. L. (2025). Examining benchmarks of sexual recidivism rates for short, moderate, and long-term follow-up periods: A meta-analysis of Canadian and American studies.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 xml:space="preserve">Trauma, Violence, &amp; Abuse, </w:t>
      </w:r>
      <w:r>
        <w:rPr>
          <w:rFonts w:ascii="Times New Roman" w:eastAsia="Times New Roman" w:hAnsi="Times New Roman" w:cs="Times New Roman"/>
          <w:iCs/>
          <w:sz w:val="24"/>
          <w:szCs w:val="24"/>
          <w:lang w:val="sr-Latn-CS" w:eastAsia="sr-Latn-CS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(0). </w:t>
      </w:r>
      <w:hyperlink r:id="rId14" w:tgtFrame="_new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sr-Latn-CS" w:eastAsia="sr-Latn-CS"/>
          </w:rPr>
          <w:t>doi.org/10.1177/15248380251338791</w:t>
        </w:r>
      </w:hyperlink>
    </w:p>
    <w:p w14:paraId="0B74417F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McGee, H., O’Higgins, M., Garavan, R., &amp; Conroy, R. (2011). Rape and child sexual abuse: What beliefs persist about motives, perpetrators, and survivors?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>Journal of Interpersonal Violence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, 26(17), 3580–3593. </w:t>
      </w:r>
      <w:hyperlink r:id="rId15" w:tgtFrame="_new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sr-Latn-CS" w:eastAsia="sr-Latn-CS"/>
          </w:rPr>
          <w:t>doi.org/10.1177/0886260511403762</w:t>
        </w:r>
      </w:hyperlink>
    </w:p>
    <w:p w14:paraId="060155C5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lastRenderedPageBreak/>
        <w:t xml:space="preserve">Monahan, J., Skeem, J., &amp; Lowenkamp, C. T. (2017). Age, risk assessment, and sanctioning: Overestimating the old, underestimating the young.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>Law and Human Behavior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, 41(2), 191–202. </w:t>
      </w:r>
      <w:hyperlink r:id="rId16" w:tgtFrame="_new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sr-Latn-CS" w:eastAsia="sr-Latn-CS"/>
          </w:rPr>
          <w:t>doi.org/10.1037/lhb0000233</w:t>
        </w:r>
      </w:hyperlink>
    </w:p>
    <w:p w14:paraId="7C44159E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Mulder, E. A., Brand, E., Bullens, R., &amp; van Marle, H. J. C. (2010). Risk factors for overall recidivism and severity of recidivism in serious juvenile offenders.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 xml:space="preserve">International Journal of Offender Therapy and Comparative Criminology, </w:t>
      </w:r>
      <w:r>
        <w:rPr>
          <w:rFonts w:ascii="Times New Roman" w:eastAsia="Times New Roman" w:hAnsi="Times New Roman" w:cs="Times New Roman"/>
          <w:iCs/>
          <w:sz w:val="24"/>
          <w:szCs w:val="24"/>
          <w:lang w:val="sr-Latn-CS" w:eastAsia="sr-Latn-CS"/>
        </w:rPr>
        <w:t>55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(1), 118–135. </w:t>
      </w:r>
      <w:hyperlink r:id="rId17" w:tgtFrame="_new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sr-Latn-CS" w:eastAsia="sr-Latn-CS"/>
          </w:rPr>
          <w:t>doi.org/10.1177/0306624X09356683</w:t>
        </w:r>
      </w:hyperlink>
    </w:p>
    <w:p w14:paraId="5AFE514C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Author, M., Author, V., &amp; Author, I. (2024). Incidence of crimes against sexual freedom: Adult and juvenile perpetrators.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>Security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, 66(3), 5–22. </w:t>
      </w:r>
      <w:hyperlink r:id="rId18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sr-Latn-CS" w:eastAsia="sr-Latn-CS"/>
          </w:rPr>
          <w:t>doi.org/10.5937/bezbednost2403005O</w:t>
        </w:r>
      </w:hyperlink>
    </w:p>
    <w:p w14:paraId="6981B709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Author, M., Sadiković, S., Dinić, B., &amp; Author, V. (2021). Dark Tetrad and psychological distress among male violent offenders and male community adults.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>Applied Psychology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, 14(4), 509–537. </w:t>
      </w:r>
      <w:hyperlink r:id="rId19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sr-Latn-CS" w:eastAsia="sr-Latn-CS"/>
          </w:rPr>
          <w:t>doi.org/10.19090/pp.2021.4.509-537</w:t>
        </w:r>
      </w:hyperlink>
    </w:p>
    <w:p w14:paraId="3057B9B9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Sammut Henwood, K., Chou, S., &amp; Browne, K. (2015). A systematic review and meta-analysis on the effectiveness of CBT informed anger management.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>Aggression and Violent Behavior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, 25, 280–292. </w:t>
      </w:r>
      <w:hyperlink r:id="rId20" w:tgtFrame="_new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sr-Latn-CS" w:eastAsia="sr-Latn-CS"/>
          </w:rPr>
          <w:t>doi.org/10.1016/j.avb.2015.09.011</w:t>
        </w:r>
      </w:hyperlink>
    </w:p>
    <w:p w14:paraId="307CC5CD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Schmucker, M., &amp; Lösel, F. (2017). Sexual offender treatment for reducing recidivism among convicted sex offenders: A systematic review and meta-analysis.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>Campbell Systematic Reviews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, 13(1), Article e8. </w:t>
      </w:r>
      <w:hyperlink r:id="rId21" w:tgtFrame="_new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sr-Latn-CS" w:eastAsia="sr-Latn-CS"/>
          </w:rPr>
          <w:t>doi.org/10.4073/csr.2017.8</w:t>
        </w:r>
      </w:hyperlink>
    </w:p>
    <w:p w14:paraId="3DBD09E9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van den Berg, J. W., van Beek, D., Bouman, Y. H. A., Janssen, E., Smid, W. J., &amp; Gijs, L. (2024). Understanding the risk of sexual reoffending in adult men: A network-based model.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 xml:space="preserve">Journal of Interpersonal Violence, </w:t>
      </w:r>
      <w:r>
        <w:rPr>
          <w:rFonts w:ascii="Times New Roman" w:eastAsia="Times New Roman" w:hAnsi="Times New Roman" w:cs="Times New Roman"/>
          <w:iCs/>
          <w:sz w:val="24"/>
          <w:szCs w:val="24"/>
          <w:lang w:val="sr-Latn-CS" w:eastAsia="sr-Latn-CS"/>
        </w:rPr>
        <w:t>36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(2), 135–157. </w:t>
      </w:r>
      <w:hyperlink r:id="rId22" w:tgtFrame="_new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sr-Latn-CS" w:eastAsia="sr-Latn-CS"/>
          </w:rPr>
          <w:t>doi.org/10.1177/10790632231153633</w:t>
        </w:r>
      </w:hyperlink>
    </w:p>
    <w:p w14:paraId="18321194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van den Berg, J. W., Smid, W., Kossakowski, J. J., van Beek, D., Borsboom, D., Janssen, E., &amp; Gijs, L. (2020). The application of network analysis to dynamic risk factors in adult male sex offenders.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>Clinical Psychological Science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, 8(3), 539–554. </w:t>
      </w:r>
      <w:hyperlink r:id="rId23" w:tgtFrame="_new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sr-Latn-CS" w:eastAsia="sr-Latn-CS"/>
          </w:rPr>
          <w:t>doi.org/10.1177/2167702620901720</w:t>
        </w:r>
      </w:hyperlink>
    </w:p>
    <w:p w14:paraId="53D91DC0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Yukhnenko, D., Blackwood, N., &amp; Fazel, S. (2020). Risk factors for recidivism in individuals receiving community sentences: A systematic review and meta-analysis.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 xml:space="preserve">CNS Spectrums, </w:t>
      </w:r>
      <w:r>
        <w:rPr>
          <w:rFonts w:ascii="Times New Roman" w:eastAsia="Times New Roman" w:hAnsi="Times New Roman" w:cs="Times New Roman"/>
          <w:iCs/>
          <w:sz w:val="24"/>
          <w:szCs w:val="24"/>
          <w:lang w:val="sr-Latn-CS" w:eastAsia="sr-Latn-CS"/>
        </w:rPr>
        <w:t>25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(2), 252–263. </w:t>
      </w:r>
      <w:hyperlink r:id="rId24" w:tgtFrame="_new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sr-Latn-CS" w:eastAsia="sr-Latn-CS"/>
          </w:rPr>
          <w:t>doi.org/10.1017/S1092852919001056</w:t>
        </w:r>
      </w:hyperlink>
    </w:p>
    <w:p w14:paraId="4B57376D" w14:textId="77777777" w:rsidR="003E7959" w:rsidRDefault="003E7959" w:rsidP="003E7959">
      <w:p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Zgoba, K. M., Liu, L., &amp; Matthews, D. T. (2023). Advancing research: An examination of differences in characteristics of sexual and non-sexual offense recidivism using a 10-year follow-up.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Latn-CS" w:eastAsia="sr-Latn-CS"/>
        </w:rPr>
        <w:t xml:space="preserve">International Journal of Environmental Research and Public Health, </w:t>
      </w:r>
      <w:r>
        <w:rPr>
          <w:rFonts w:ascii="Times New Roman" w:eastAsia="Times New Roman" w:hAnsi="Times New Roman" w:cs="Times New Roman"/>
          <w:iCs/>
          <w:sz w:val="24"/>
          <w:szCs w:val="24"/>
          <w:lang w:val="sr-Latn-CS" w:eastAsia="sr-Latn-CS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 xml:space="preserve">(13), 6212. </w:t>
      </w:r>
      <w:hyperlink r:id="rId25" w:tgtFrame="_new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sr-Latn-CS" w:eastAsia="sr-Latn-CS"/>
          </w:rPr>
          <w:t>doi.org/10.3390/ijerph20136212</w:t>
        </w:r>
      </w:hyperlink>
    </w:p>
    <w:p w14:paraId="6BF620EB" w14:textId="77777777" w:rsidR="003E7959" w:rsidRDefault="003E7959" w:rsidP="003E7959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</w:pPr>
    </w:p>
    <w:sectPr w:rsidR="003E79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959"/>
    <w:rsid w:val="003E7959"/>
    <w:rsid w:val="0074312D"/>
    <w:rsid w:val="009E6405"/>
    <w:rsid w:val="00E7428E"/>
    <w:rsid w:val="00F5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85850"/>
  <w15:chartTrackingRefBased/>
  <w15:docId w15:val="{591D428C-8DBF-4135-AC39-953D517A5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959"/>
    <w:pPr>
      <w:spacing w:line="256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795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795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795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795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795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795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795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795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795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79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79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79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79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79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79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79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79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79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79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E79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795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E79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795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E79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7959"/>
    <w:pPr>
      <w:spacing w:line="278" w:lineRule="auto"/>
      <w:ind w:left="720"/>
      <w:contextualSpacing/>
    </w:pPr>
    <w:rPr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E79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9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9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795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E79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79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5603/SP.2016.0002" TargetMode="External"/><Relationship Id="rId13" Type="http://schemas.openxmlformats.org/officeDocument/2006/relationships/hyperlink" Target="https://doi.org/10.1086/727028" TargetMode="External"/><Relationship Id="rId18" Type="http://schemas.openxmlformats.org/officeDocument/2006/relationships/hyperlink" Target="https://doi.org/10.5937/bezbednost2403005O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doi.org/10.4073/csr.2017.8" TargetMode="External"/><Relationship Id="rId7" Type="http://schemas.openxmlformats.org/officeDocument/2006/relationships/hyperlink" Target="https://doi.org/10.1037/0022-006X.73.6.1154" TargetMode="External"/><Relationship Id="rId12" Type="http://schemas.openxmlformats.org/officeDocument/2006/relationships/hyperlink" Target="https://doi.org/10.1177/07340168231157385" TargetMode="External"/><Relationship Id="rId17" Type="http://schemas.openxmlformats.org/officeDocument/2006/relationships/hyperlink" Target="https://doi.org/10.1177/0306624X09356683" TargetMode="External"/><Relationship Id="rId25" Type="http://schemas.openxmlformats.org/officeDocument/2006/relationships/hyperlink" Target="https://doi.org/10.3390/ijerph2013621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i.org/10.1037/lhb0000233" TargetMode="External"/><Relationship Id="rId20" Type="http://schemas.openxmlformats.org/officeDocument/2006/relationships/hyperlink" Target="https://doi.org/10.1016/j.avb.2015.09.011" TargetMode="External"/><Relationship Id="rId1" Type="http://schemas.openxmlformats.org/officeDocument/2006/relationships/styles" Target="styles.xml"/><Relationship Id="rId6" Type="http://schemas.openxmlformats.org/officeDocument/2006/relationships/hyperlink" Target="https://doi.org/10.4324/9781315085081" TargetMode="External"/><Relationship Id="rId11" Type="http://schemas.openxmlformats.org/officeDocument/2006/relationships/hyperlink" Target="https://doi.org/10.1016/j.jcrimjus.2022.102002" TargetMode="External"/><Relationship Id="rId24" Type="http://schemas.openxmlformats.org/officeDocument/2006/relationships/hyperlink" Target="https://doi.org/10.1017/S1092852919001056" TargetMode="External"/><Relationship Id="rId5" Type="http://schemas.openxmlformats.org/officeDocument/2006/relationships/hyperlink" Target="https://doi.org/10.1515/mks-2" TargetMode="External"/><Relationship Id="rId15" Type="http://schemas.openxmlformats.org/officeDocument/2006/relationships/hyperlink" Target="https://doi.org/10.1177/0886260511403762" TargetMode="External"/><Relationship Id="rId23" Type="http://schemas.openxmlformats.org/officeDocument/2006/relationships/hyperlink" Target="https://doi.org/10.1177/2167702620901720" TargetMode="External"/><Relationship Id="rId10" Type="http://schemas.openxmlformats.org/officeDocument/2006/relationships/hyperlink" Target="https://doi.org/10.5937/nabepo27-37491" TargetMode="External"/><Relationship Id="rId19" Type="http://schemas.openxmlformats.org/officeDocument/2006/relationships/hyperlink" Target="https://doi.org/10.19090/pp.2021.4.509-537" TargetMode="External"/><Relationship Id="rId4" Type="http://schemas.openxmlformats.org/officeDocument/2006/relationships/hyperlink" Target="https://doi.org/10.1177/00938548198261" TargetMode="External"/><Relationship Id="rId9" Type="http://schemas.openxmlformats.org/officeDocument/2006/relationships/hyperlink" Target="https://doi.org/10.1371/journal.pone.0327810" TargetMode="External"/><Relationship Id="rId14" Type="http://schemas.openxmlformats.org/officeDocument/2006/relationships/hyperlink" Target="https://doi.org/10.1177/15248380251338791" TargetMode="External"/><Relationship Id="rId22" Type="http://schemas.openxmlformats.org/officeDocument/2006/relationships/hyperlink" Target="https://doi.org/10.1177/10790632231153633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1696</Words>
  <Characters>9672</Characters>
  <Application>Microsoft Office Word</Application>
  <DocSecurity>0</DocSecurity>
  <Lines>80</Lines>
  <Paragraphs>22</Paragraphs>
  <ScaleCrop>false</ScaleCrop>
  <Company/>
  <LinksUpToDate>false</LinksUpToDate>
  <CharactersWithSpaces>11346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Zvonimir Ivanovic</dc:creator>
  <cp:keywords/>
  <dc:description/>
  <cp:lastModifiedBy>Zvonimir Ivanovic</cp:lastModifiedBy>
  <cp:revision>1</cp:revision>
  <dcterms:created xsi:type="dcterms:W3CDTF">2026-01-09T13:00:00Z</dcterms:created>
  <dcterms:modified xsi:type="dcterms:W3CDTF">2026-01-09T13:01:00Z</dcterms:modified>
</cp:coreProperties>
</file>