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21956" w14:textId="77777777" w:rsidR="009B15AD" w:rsidRPr="00E2464D" w:rsidRDefault="009B15AD" w:rsidP="009B15AD">
      <w:pPr>
        <w:spacing w:after="0" w:line="360" w:lineRule="auto"/>
        <w:jc w:val="center"/>
        <w:rPr>
          <w:rFonts w:ascii="Times New Roman" w:hAnsi="Times New Roman" w:cs="Times New Roman"/>
          <w:b/>
          <w:bCs/>
          <w:sz w:val="24"/>
          <w:szCs w:val="24"/>
          <w:lang w:val="sr-Cyrl-RS"/>
        </w:rPr>
      </w:pPr>
      <w:r w:rsidRPr="00E2464D">
        <w:rPr>
          <w:rFonts w:ascii="Times New Roman" w:hAnsi="Times New Roman" w:cs="Times New Roman"/>
          <w:b/>
          <w:bCs/>
          <w:sz w:val="24"/>
          <w:szCs w:val="24"/>
          <w:lang w:val="sr-Cyrl-RS"/>
        </w:rPr>
        <w:t>RECIDIVISM OF RAPISTS: A RETROSPECTIVE ANALYSIS OF STATIC AND DYNAMIC RISK FACTORS</w:t>
      </w:r>
    </w:p>
    <w:p w14:paraId="3C467B12" w14:textId="21FBED7D" w:rsidR="00C96A31" w:rsidRPr="00E2464D" w:rsidRDefault="00C96A31" w:rsidP="00C96A31">
      <w:pPr>
        <w:spacing w:after="0" w:line="360" w:lineRule="auto"/>
        <w:rPr>
          <w:rFonts w:ascii="Times New Roman" w:hAnsi="Times New Roman" w:cs="Times New Roman"/>
          <w:bCs/>
          <w:sz w:val="16"/>
          <w:szCs w:val="16"/>
        </w:rPr>
      </w:pPr>
    </w:p>
    <w:p w14:paraId="3C4FB61A" w14:textId="77777777" w:rsidR="007C43EB" w:rsidRPr="00E2464D" w:rsidRDefault="007C43EB" w:rsidP="007C43EB">
      <w:pPr>
        <w:spacing w:after="0" w:line="360" w:lineRule="auto"/>
        <w:rPr>
          <w:rFonts w:ascii="Times New Roman" w:hAnsi="Times New Roman" w:cs="Times New Roman"/>
          <w:bCs/>
          <w:iCs/>
          <w:sz w:val="10"/>
          <w:szCs w:val="10"/>
        </w:rPr>
      </w:pPr>
    </w:p>
    <w:p w14:paraId="18402DB9" w14:textId="5E9AC99A" w:rsidR="00B43021" w:rsidRDefault="00DC7197" w:rsidP="00E2464D">
      <w:pPr>
        <w:spacing w:after="0" w:line="360" w:lineRule="auto"/>
        <w:jc w:val="center"/>
        <w:rPr>
          <w:rFonts w:ascii="Times New Roman" w:hAnsi="Times New Roman" w:cs="Times New Roman"/>
          <w:b/>
          <w:bCs/>
          <w:sz w:val="24"/>
          <w:szCs w:val="24"/>
        </w:rPr>
      </w:pPr>
      <w:r w:rsidRPr="00E2464D">
        <w:rPr>
          <w:rFonts w:ascii="Times New Roman" w:hAnsi="Times New Roman" w:cs="Times New Roman"/>
          <w:b/>
          <w:bCs/>
          <w:sz w:val="24"/>
          <w:szCs w:val="24"/>
        </w:rPr>
        <w:t>Abstract</w:t>
      </w:r>
    </w:p>
    <w:p w14:paraId="733502D1" w14:textId="77777777" w:rsidR="00E2464D" w:rsidRPr="00E2464D" w:rsidRDefault="00E2464D" w:rsidP="00E2464D">
      <w:pPr>
        <w:spacing w:after="0" w:line="360" w:lineRule="auto"/>
        <w:jc w:val="center"/>
        <w:rPr>
          <w:rFonts w:ascii="Times New Roman" w:hAnsi="Times New Roman" w:cs="Times New Roman"/>
          <w:b/>
          <w:bCs/>
          <w:sz w:val="16"/>
          <w:szCs w:val="16"/>
        </w:rPr>
      </w:pPr>
    </w:p>
    <w:p w14:paraId="06B579F6" w14:textId="6CEA2FD4" w:rsidR="00394A58" w:rsidRDefault="00394A58" w:rsidP="00394A58">
      <w:pPr>
        <w:pStyle w:val="NormalWeb"/>
        <w:spacing w:before="0" w:beforeAutospacing="0" w:after="0" w:afterAutospacing="0" w:line="360" w:lineRule="auto"/>
        <w:ind w:firstLine="567"/>
        <w:jc w:val="both"/>
      </w:pPr>
      <w:r w:rsidRPr="00394A58">
        <w:t>The aim of this retrospective study was to examine the association between static and dynamic risk factors and recidivism among individuals convicted of rape in the Republic of Serbia. The sample comprised 560 individuals convicted of rape recorded between 2014 and 2023, with data collected from official records of institutions responsible for the execution of criminal sanctions. The analysis included static risk factors, such as demographic characteristics and criminal history, as well as dynamic factors, including the misuse of psychoactive substances, participation in rehabilitation programmes, and engagement in work and educational activities.</w:t>
      </w:r>
      <w:r>
        <w:t xml:space="preserve"> </w:t>
      </w:r>
      <w:r w:rsidRPr="00394A58">
        <w:t>The results indicate that recidivists for other sexual offences (excluding rape) were older than non-recidivists, whereas education, marital status, and sentence length did not show statistically significant differences. Personality disorders were significantly more prevalent among recidivists, particularly among those who reoffended by committing other sexual offences, whereas employment engagement was more frequent among non-recidivists. Participation in rehabilitation programmes, particularly anger management programmes, was more common among recidivists convicted of rape. Alcohol- and drug-related problems did not reach statistical significance.</w:t>
      </w:r>
      <w:r>
        <w:t xml:space="preserve"> </w:t>
      </w:r>
      <w:r w:rsidRPr="00394A58">
        <w:t>The findings highlight the need for an integrated assessment of static and dynamic risk factors in the prevention of recidivism, with personality disorders and employment engagement being particularly relevant for risk evaluation. These results have important practical implications for treatment and risk assessment, emphasising the recommendation for longitudinal follow-up after release from prison.</w:t>
      </w:r>
    </w:p>
    <w:p w14:paraId="6F39C09D" w14:textId="77777777" w:rsidR="00394A58" w:rsidRPr="00394A58" w:rsidRDefault="00394A58" w:rsidP="00394A58">
      <w:pPr>
        <w:pStyle w:val="NormalWeb"/>
        <w:spacing w:before="0" w:beforeAutospacing="0" w:after="0" w:afterAutospacing="0" w:line="360" w:lineRule="auto"/>
        <w:ind w:firstLine="567"/>
        <w:jc w:val="both"/>
      </w:pPr>
    </w:p>
    <w:p w14:paraId="6FFD14B0" w14:textId="77777777" w:rsidR="009B15AD" w:rsidRPr="00E2464D" w:rsidRDefault="009B15AD" w:rsidP="009B15AD">
      <w:pPr>
        <w:pStyle w:val="NormalWeb"/>
        <w:spacing w:before="0" w:beforeAutospacing="0" w:after="0" w:afterAutospacing="0"/>
        <w:ind w:firstLine="567"/>
        <w:jc w:val="both"/>
      </w:pPr>
      <w:r w:rsidRPr="00E2464D">
        <w:rPr>
          <w:rStyle w:val="Strong"/>
        </w:rPr>
        <w:t>Keywords:</w:t>
      </w:r>
      <w:r w:rsidRPr="00E2464D">
        <w:t xml:space="preserve"> </w:t>
      </w:r>
      <w:r w:rsidRPr="00E2464D">
        <w:rPr>
          <w:lang w:val="en-US"/>
        </w:rPr>
        <w:t>rape; recidivism; sexual offenders; static and dynamic risk factors; risk assessment</w:t>
      </w:r>
    </w:p>
    <w:p w14:paraId="5B0F8F9C" w14:textId="4A65309A" w:rsidR="009B15AD" w:rsidRDefault="009B15AD" w:rsidP="009B15AD">
      <w:pPr>
        <w:pStyle w:val="NormalWeb"/>
        <w:spacing w:before="0" w:beforeAutospacing="0" w:after="0" w:afterAutospacing="0"/>
        <w:jc w:val="both"/>
        <w:rPr>
          <w:sz w:val="16"/>
          <w:szCs w:val="16"/>
        </w:rPr>
      </w:pPr>
    </w:p>
    <w:p w14:paraId="2706571E" w14:textId="596B8485" w:rsidR="00926908" w:rsidRDefault="00926908" w:rsidP="009B15AD">
      <w:pPr>
        <w:pStyle w:val="NormalWeb"/>
        <w:spacing w:before="0" w:beforeAutospacing="0" w:after="0" w:afterAutospacing="0"/>
        <w:jc w:val="both"/>
        <w:rPr>
          <w:sz w:val="16"/>
          <w:szCs w:val="16"/>
        </w:rPr>
      </w:pPr>
    </w:p>
    <w:p w14:paraId="0CC7CAD8" w14:textId="614AD25A" w:rsidR="00926908" w:rsidRDefault="00926908" w:rsidP="009B15AD">
      <w:pPr>
        <w:pStyle w:val="NormalWeb"/>
        <w:spacing w:before="0" w:beforeAutospacing="0" w:after="0" w:afterAutospacing="0"/>
        <w:jc w:val="both"/>
        <w:rPr>
          <w:sz w:val="16"/>
          <w:szCs w:val="16"/>
        </w:rPr>
      </w:pPr>
    </w:p>
    <w:p w14:paraId="0E74A568" w14:textId="56B81018" w:rsidR="00926908" w:rsidRDefault="00926908" w:rsidP="009B15AD">
      <w:pPr>
        <w:pStyle w:val="NormalWeb"/>
        <w:spacing w:before="0" w:beforeAutospacing="0" w:after="0" w:afterAutospacing="0"/>
        <w:jc w:val="both"/>
        <w:rPr>
          <w:sz w:val="16"/>
          <w:szCs w:val="16"/>
        </w:rPr>
      </w:pPr>
    </w:p>
    <w:p w14:paraId="6E4E4780" w14:textId="64D8329A" w:rsidR="00926908" w:rsidRDefault="00926908" w:rsidP="009B15AD">
      <w:pPr>
        <w:pStyle w:val="NormalWeb"/>
        <w:spacing w:before="0" w:beforeAutospacing="0" w:after="0" w:afterAutospacing="0"/>
        <w:jc w:val="both"/>
        <w:rPr>
          <w:sz w:val="16"/>
          <w:szCs w:val="16"/>
        </w:rPr>
      </w:pPr>
    </w:p>
    <w:p w14:paraId="551A2E69" w14:textId="4D85FE86" w:rsidR="00926908" w:rsidRDefault="00926908" w:rsidP="009B15AD">
      <w:pPr>
        <w:pStyle w:val="NormalWeb"/>
        <w:spacing w:before="0" w:beforeAutospacing="0" w:after="0" w:afterAutospacing="0"/>
        <w:jc w:val="both"/>
        <w:rPr>
          <w:sz w:val="16"/>
          <w:szCs w:val="16"/>
        </w:rPr>
      </w:pPr>
    </w:p>
    <w:p w14:paraId="28823904" w14:textId="6E5DCE61" w:rsidR="00926908" w:rsidRDefault="00926908" w:rsidP="009B15AD">
      <w:pPr>
        <w:pStyle w:val="NormalWeb"/>
        <w:spacing w:before="0" w:beforeAutospacing="0" w:after="0" w:afterAutospacing="0"/>
        <w:jc w:val="both"/>
        <w:rPr>
          <w:sz w:val="16"/>
          <w:szCs w:val="16"/>
        </w:rPr>
      </w:pPr>
    </w:p>
    <w:p w14:paraId="1FC362F7" w14:textId="65683206" w:rsidR="00926908" w:rsidRDefault="00926908" w:rsidP="009B15AD">
      <w:pPr>
        <w:pStyle w:val="NormalWeb"/>
        <w:spacing w:before="0" w:beforeAutospacing="0" w:after="0" w:afterAutospacing="0"/>
        <w:jc w:val="both"/>
        <w:rPr>
          <w:sz w:val="16"/>
          <w:szCs w:val="16"/>
        </w:rPr>
      </w:pPr>
    </w:p>
    <w:p w14:paraId="6953FC60" w14:textId="234060A2" w:rsidR="00926908" w:rsidRDefault="00926908" w:rsidP="009B15AD">
      <w:pPr>
        <w:pStyle w:val="NormalWeb"/>
        <w:spacing w:before="0" w:beforeAutospacing="0" w:after="0" w:afterAutospacing="0"/>
        <w:jc w:val="both"/>
        <w:rPr>
          <w:sz w:val="16"/>
          <w:szCs w:val="16"/>
        </w:rPr>
      </w:pPr>
    </w:p>
    <w:p w14:paraId="0B45E9B3" w14:textId="26A254D2" w:rsidR="00926908" w:rsidRPr="00E2464D" w:rsidRDefault="00926908" w:rsidP="009B15AD">
      <w:pPr>
        <w:pStyle w:val="NormalWeb"/>
        <w:spacing w:before="0" w:beforeAutospacing="0" w:after="0" w:afterAutospacing="0"/>
        <w:jc w:val="both"/>
        <w:rPr>
          <w:sz w:val="16"/>
          <w:szCs w:val="16"/>
        </w:rPr>
      </w:pPr>
    </w:p>
    <w:p w14:paraId="1EDD4AB8" w14:textId="5126BD83" w:rsidR="0091017B" w:rsidRPr="00E2464D" w:rsidRDefault="0091017B" w:rsidP="003D4FF5">
      <w:pPr>
        <w:pStyle w:val="NormalWeb"/>
        <w:spacing w:before="0" w:beforeAutospacing="0" w:after="0" w:afterAutospacing="0"/>
        <w:jc w:val="both"/>
        <w:rPr>
          <w:sz w:val="10"/>
          <w:szCs w:val="10"/>
        </w:rPr>
      </w:pPr>
    </w:p>
    <w:p w14:paraId="37D642CD" w14:textId="3D687F6B" w:rsidR="0091017B" w:rsidRPr="00E2464D" w:rsidRDefault="0091017B" w:rsidP="003D4FF5">
      <w:pPr>
        <w:pStyle w:val="NormalWeb"/>
        <w:spacing w:before="0" w:beforeAutospacing="0" w:after="0" w:afterAutospacing="0"/>
        <w:jc w:val="both"/>
        <w:rPr>
          <w:sz w:val="10"/>
          <w:szCs w:val="10"/>
        </w:rPr>
      </w:pPr>
    </w:p>
    <w:p w14:paraId="1DBE6953" w14:textId="00AF9637" w:rsidR="0091017B" w:rsidRPr="00E2464D" w:rsidRDefault="009B15AD" w:rsidP="009B15AD">
      <w:pPr>
        <w:pStyle w:val="NormalWeb"/>
        <w:spacing w:before="0" w:beforeAutospacing="0" w:after="0" w:afterAutospacing="0" w:line="360" w:lineRule="auto"/>
        <w:jc w:val="center"/>
        <w:rPr>
          <w:b/>
        </w:rPr>
      </w:pPr>
      <w:r w:rsidRPr="00035681">
        <w:rPr>
          <w:b/>
          <w:bCs/>
          <w:lang w:val="ru-RU"/>
        </w:rPr>
        <w:lastRenderedPageBreak/>
        <w:t>РЕЦИДИВИЗАМ СИЛОВАТЕЉА: РЕТРОСПЕКТИВНА АНАЛИЗА СТАТИЧНИХ И ДИНАМИЧКИХ ФАКТОРА РИЗИКА</w:t>
      </w:r>
    </w:p>
    <w:p w14:paraId="61221D03" w14:textId="77777777" w:rsidR="0091017B" w:rsidRPr="00E2464D" w:rsidRDefault="0091017B" w:rsidP="009B15AD">
      <w:pPr>
        <w:pStyle w:val="NormalWeb"/>
        <w:spacing w:before="0" w:beforeAutospacing="0" w:after="0" w:afterAutospacing="0" w:line="360" w:lineRule="auto"/>
        <w:jc w:val="center"/>
        <w:rPr>
          <w:sz w:val="10"/>
          <w:szCs w:val="10"/>
        </w:rPr>
      </w:pPr>
    </w:p>
    <w:p w14:paraId="142C5E8C" w14:textId="3786FEDB" w:rsidR="0091017B" w:rsidRDefault="009B15AD" w:rsidP="009B15AD">
      <w:pPr>
        <w:pStyle w:val="NormalWeb"/>
        <w:spacing w:before="0" w:beforeAutospacing="0" w:after="0" w:afterAutospacing="0"/>
        <w:jc w:val="center"/>
        <w:rPr>
          <w:b/>
          <w:lang w:val="sr-Cyrl-RS"/>
        </w:rPr>
      </w:pPr>
      <w:r w:rsidRPr="00E2464D">
        <w:rPr>
          <w:b/>
          <w:lang w:val="sr-Cyrl-RS"/>
        </w:rPr>
        <w:t>Апстракт</w:t>
      </w:r>
    </w:p>
    <w:p w14:paraId="50EBF0F3" w14:textId="77777777" w:rsidR="002314F6" w:rsidRPr="00E2464D" w:rsidRDefault="002314F6" w:rsidP="009B15AD">
      <w:pPr>
        <w:pStyle w:val="NormalWeb"/>
        <w:spacing w:before="0" w:beforeAutospacing="0" w:after="0" w:afterAutospacing="0"/>
        <w:jc w:val="center"/>
        <w:rPr>
          <w:b/>
          <w:lang w:val="sr-Cyrl-RS"/>
        </w:rPr>
      </w:pPr>
    </w:p>
    <w:p w14:paraId="50CA2A5E" w14:textId="6B9C3C6A" w:rsidR="007172C0" w:rsidRDefault="002314F6" w:rsidP="002314F6">
      <w:pPr>
        <w:spacing w:after="0" w:line="360" w:lineRule="auto"/>
        <w:ind w:firstLine="567"/>
        <w:jc w:val="both"/>
        <w:rPr>
          <w:rFonts w:ascii="Times New Roman" w:eastAsia="Times New Roman" w:hAnsi="Times New Roman" w:cs="Times New Roman"/>
          <w:sz w:val="24"/>
          <w:szCs w:val="24"/>
          <w:lang w:val="sr-Latn-CS" w:eastAsia="sr-Latn-CS"/>
        </w:rPr>
      </w:pPr>
      <w:r w:rsidRPr="002314F6">
        <w:rPr>
          <w:rFonts w:ascii="Times New Roman" w:eastAsia="Times New Roman" w:hAnsi="Times New Roman" w:cs="Times New Roman"/>
          <w:sz w:val="24"/>
          <w:szCs w:val="24"/>
          <w:lang w:eastAsia="sr-Latn-CS"/>
        </w:rPr>
        <w:t>Циљ ове ретроспективне студије био је да се испита повезаност између статичких и динамичких фактора ризика и рецидивизма код осуђених силоватеља у Републици Србији. Узорак је обухватио 560 осуђених силоватеља евидентираних у периоду од 2014. до 2023. године, а подаци су прикупљени из званичних евиденција установа за извршење кривичних санкција. Анализа је обухватила статичке факторе ризика, као што су демографске карактеристике и криминална историја, као и динамичке факторе, укључујући злоупотребу психоактивних супстанци, учешће у рехабилитационим програмима и ангажованост у радним и образовним активностима.</w:t>
      </w:r>
      <w:r>
        <w:rPr>
          <w:rFonts w:ascii="Times New Roman" w:eastAsia="Times New Roman" w:hAnsi="Times New Roman" w:cs="Times New Roman"/>
          <w:sz w:val="24"/>
          <w:szCs w:val="24"/>
          <w:lang w:eastAsia="sr-Latn-CS"/>
        </w:rPr>
        <w:t xml:space="preserve"> </w:t>
      </w:r>
      <w:r w:rsidR="007172C0" w:rsidRPr="00E2464D">
        <w:rPr>
          <w:rFonts w:ascii="Times New Roman" w:eastAsia="Times New Roman" w:hAnsi="Times New Roman" w:cs="Times New Roman"/>
          <w:sz w:val="24"/>
          <w:szCs w:val="24"/>
          <w:lang w:val="sr-Latn-CS" w:eastAsia="sr-Latn-CS"/>
        </w:rPr>
        <w:t>Резултати показују да су повратници у другим сексуалним кривичним делима (искључујући силовање) били старији у односу на нерецидивисте, док образовање, брачни статус и дужина казне нису показали статистички значајне разлике. Поремећаји личности били су значајно учесталији код рецидивиста, нарочито код оних који су поново извршили друга сексуална кривична дела, док је радна ангажованост била чешћа код нерецидивиста. Учешће у рехабилитационим програмима, посебно у програмима управљања бесом, било је учесталије код рецидивиста силовања. Проблеми повезани са алкохолом и дрогама нису д</w:t>
      </w:r>
      <w:r>
        <w:rPr>
          <w:rFonts w:ascii="Times New Roman" w:eastAsia="Times New Roman" w:hAnsi="Times New Roman" w:cs="Times New Roman"/>
          <w:sz w:val="24"/>
          <w:szCs w:val="24"/>
          <w:lang w:val="sr-Latn-CS" w:eastAsia="sr-Latn-CS"/>
        </w:rPr>
        <w:t xml:space="preserve">остигли статистичку значајност. </w:t>
      </w:r>
      <w:r w:rsidR="007172C0" w:rsidRPr="00E2464D">
        <w:rPr>
          <w:rFonts w:ascii="Times New Roman" w:eastAsia="Times New Roman" w:hAnsi="Times New Roman" w:cs="Times New Roman"/>
          <w:sz w:val="24"/>
          <w:szCs w:val="24"/>
          <w:lang w:val="sr-Latn-CS" w:eastAsia="sr-Latn-CS"/>
        </w:rPr>
        <w:t>Налази указују на потребу за интегрисаном проценом статичких и динамичких фактора ризика у превенцији рецидивизма, при чему су поремећаји личности и радна ангажованост посебно релевантни за процену ризика. Ови резултати имају значајне практичне импликације за третман и процену ризика, уз наглашену препоруку за лонгитудинално праћење након отпуста из затвора.</w:t>
      </w:r>
    </w:p>
    <w:p w14:paraId="63C69861" w14:textId="77777777" w:rsidR="00394A58" w:rsidRPr="002314F6" w:rsidRDefault="00394A58" w:rsidP="002314F6">
      <w:pPr>
        <w:spacing w:after="0" w:line="360" w:lineRule="auto"/>
        <w:ind w:firstLine="567"/>
        <w:jc w:val="both"/>
        <w:rPr>
          <w:rFonts w:ascii="Times New Roman" w:eastAsia="Times New Roman" w:hAnsi="Times New Roman" w:cs="Times New Roman"/>
          <w:sz w:val="24"/>
          <w:szCs w:val="24"/>
          <w:lang w:eastAsia="sr-Latn-CS"/>
        </w:rPr>
      </w:pPr>
    </w:p>
    <w:p w14:paraId="46689082" w14:textId="29CDACB9" w:rsidR="00DF5803" w:rsidRDefault="00DF5803" w:rsidP="00CA4243">
      <w:pPr>
        <w:pStyle w:val="NormalWeb"/>
        <w:spacing w:before="0" w:beforeAutospacing="0" w:after="0" w:afterAutospacing="0" w:line="360" w:lineRule="auto"/>
        <w:ind w:firstLine="567"/>
        <w:jc w:val="both"/>
        <w:rPr>
          <w:lang w:val="ru-RU"/>
        </w:rPr>
      </w:pPr>
      <w:r w:rsidRPr="00E2464D">
        <w:rPr>
          <w:b/>
        </w:rPr>
        <w:t>Кључне речи:</w:t>
      </w:r>
      <w:r w:rsidRPr="00035681">
        <w:rPr>
          <w:rFonts w:asciiTheme="minorHAnsi" w:eastAsiaTheme="minorHAnsi" w:hAnsiTheme="minorHAnsi" w:cstheme="minorBidi"/>
          <w:sz w:val="22"/>
          <w:szCs w:val="22"/>
          <w:lang w:val="ru-RU" w:eastAsia="en-US"/>
        </w:rPr>
        <w:t xml:space="preserve"> </w:t>
      </w:r>
      <w:r w:rsidRPr="00035681">
        <w:rPr>
          <w:lang w:val="ru-RU"/>
        </w:rPr>
        <w:t xml:space="preserve">силовање, рецидивизам, сексуални преступници, статични и динамички фактори, процена ризика. </w:t>
      </w:r>
    </w:p>
    <w:p w14:paraId="5267F199" w14:textId="13FF511C" w:rsidR="00926908" w:rsidRDefault="00926908" w:rsidP="00CA4243">
      <w:pPr>
        <w:pStyle w:val="NormalWeb"/>
        <w:spacing w:before="0" w:beforeAutospacing="0" w:after="0" w:afterAutospacing="0" w:line="360" w:lineRule="auto"/>
        <w:ind w:firstLine="567"/>
        <w:jc w:val="both"/>
        <w:rPr>
          <w:lang w:val="ru-RU"/>
        </w:rPr>
      </w:pPr>
    </w:p>
    <w:p w14:paraId="44D74CF4" w14:textId="729D635A" w:rsidR="00926908" w:rsidRDefault="00926908" w:rsidP="00CA4243">
      <w:pPr>
        <w:pStyle w:val="NormalWeb"/>
        <w:spacing w:before="0" w:beforeAutospacing="0" w:after="0" w:afterAutospacing="0" w:line="360" w:lineRule="auto"/>
        <w:ind w:firstLine="567"/>
        <w:jc w:val="both"/>
        <w:rPr>
          <w:lang w:val="ru-RU"/>
        </w:rPr>
      </w:pPr>
    </w:p>
    <w:p w14:paraId="1AF97852" w14:textId="77777777" w:rsidR="00926908" w:rsidRPr="00035681" w:rsidRDefault="00926908" w:rsidP="00CA4243">
      <w:pPr>
        <w:pStyle w:val="NormalWeb"/>
        <w:spacing w:before="0" w:beforeAutospacing="0" w:after="0" w:afterAutospacing="0" w:line="360" w:lineRule="auto"/>
        <w:ind w:firstLine="567"/>
        <w:jc w:val="both"/>
        <w:rPr>
          <w:lang w:val="ru-RU"/>
        </w:rPr>
      </w:pPr>
    </w:p>
    <w:p w14:paraId="01DFCB9A" w14:textId="24D555CA" w:rsidR="001B40D7" w:rsidRDefault="001B40D7" w:rsidP="007172C0">
      <w:pPr>
        <w:pStyle w:val="NormalWeb"/>
        <w:spacing w:before="0" w:beforeAutospacing="0" w:after="0" w:afterAutospacing="0" w:line="360" w:lineRule="auto"/>
        <w:jc w:val="both"/>
      </w:pPr>
    </w:p>
    <w:p w14:paraId="2748DDD5" w14:textId="77777777" w:rsidR="002314F6" w:rsidRPr="00E2464D" w:rsidRDefault="002314F6" w:rsidP="007172C0">
      <w:pPr>
        <w:pStyle w:val="NormalWeb"/>
        <w:spacing w:before="0" w:beforeAutospacing="0" w:after="0" w:afterAutospacing="0" w:line="360" w:lineRule="auto"/>
        <w:jc w:val="both"/>
      </w:pPr>
    </w:p>
    <w:p w14:paraId="0583C5BC" w14:textId="2F5BC784" w:rsidR="000902B9" w:rsidRDefault="00275740" w:rsidP="000902B9">
      <w:pPr>
        <w:pStyle w:val="NormalWeb"/>
        <w:spacing w:before="0" w:beforeAutospacing="0" w:after="0" w:afterAutospacing="0" w:line="360" w:lineRule="auto"/>
        <w:ind w:left="432"/>
        <w:jc w:val="center"/>
        <w:rPr>
          <w:i/>
          <w:lang w:val="en-US"/>
        </w:rPr>
      </w:pPr>
      <w:r w:rsidRPr="00E2464D">
        <w:rPr>
          <w:i/>
          <w:lang w:val="en-US"/>
        </w:rPr>
        <w:t>INTRODUCTION</w:t>
      </w:r>
    </w:p>
    <w:p w14:paraId="6F01DD34" w14:textId="77777777" w:rsidR="00E75DC2" w:rsidRPr="00E2464D" w:rsidRDefault="00E75DC2" w:rsidP="000902B9">
      <w:pPr>
        <w:pStyle w:val="NormalWeb"/>
        <w:spacing w:before="0" w:beforeAutospacing="0" w:after="0" w:afterAutospacing="0" w:line="360" w:lineRule="auto"/>
        <w:ind w:left="432"/>
        <w:jc w:val="center"/>
        <w:rPr>
          <w:i/>
          <w:lang w:val="en-US"/>
        </w:rPr>
      </w:pPr>
    </w:p>
    <w:p w14:paraId="17BB3D65" w14:textId="77777777" w:rsidR="00E75DC2" w:rsidRPr="00E75DC2" w:rsidRDefault="00E75DC2" w:rsidP="00E75DC2">
      <w:pPr>
        <w:pStyle w:val="NormalWeb"/>
        <w:spacing w:before="0" w:beforeAutospacing="0" w:after="0" w:afterAutospacing="0" w:line="360" w:lineRule="auto"/>
        <w:ind w:firstLine="567"/>
        <w:jc w:val="both"/>
      </w:pPr>
      <w:r w:rsidRPr="00E75DC2">
        <w:t>Rape is one of the most severe criminal offenses against sexual freedom, with serious consequences for victims, their families, and society. It constitutes a crime against personal liberty in the sphere of sexual life and is therefore classified among sexual offenses (</w:t>
      </w:r>
      <w:r w:rsidRPr="00E75DC2">
        <w:rPr>
          <w:bCs/>
        </w:rPr>
        <w:t>Đorđević &amp; Author</w:t>
      </w:r>
      <w:r w:rsidRPr="00E75DC2">
        <w:t>, 2024). Although legal definitions vary across jurisdictions, contemporary legal systems increasingly emphasize the central role of consent, recognizing that the absence of voluntary consent constitutes a criminal offense. In the Republic of Serbia, rape is defined in Article 178 of the Criminal Code as coercion into sexual intercourse or an equivalent act through the use of force or threat of immediate attack on life or body (</w:t>
      </w:r>
      <w:r w:rsidRPr="00E75DC2">
        <w:rPr>
          <w:bCs/>
        </w:rPr>
        <w:t>Đorđević &amp; Author</w:t>
      </w:r>
      <w:r w:rsidRPr="00E75DC2">
        <w:t>, 2024; Criminal Code of the Republic of Serbia). Rape without consent has not yet been criminalized as a separate criminal offense or as a separate form of the criminal offense of rape, although upcoming amendments to the criminal legislation are moving in that direction.</w:t>
      </w:r>
    </w:p>
    <w:p w14:paraId="58019A3A" w14:textId="77777777" w:rsidR="00913693" w:rsidRPr="00E2464D" w:rsidRDefault="00913693" w:rsidP="00913693">
      <w:pPr>
        <w:pStyle w:val="NormalWeb"/>
        <w:spacing w:before="0" w:beforeAutospacing="0" w:after="0" w:afterAutospacing="0" w:line="360" w:lineRule="auto"/>
        <w:ind w:firstLine="567"/>
        <w:jc w:val="both"/>
      </w:pPr>
      <w:r w:rsidRPr="00E2464D">
        <w:t>Sexual offenders, particularly rapists, represent a specific category of offenders due to their complex psychosocial and criminogenic characteristics, which distinguish them from other offender groups (</w:t>
      </w:r>
      <w:r w:rsidRPr="00E2464D">
        <w:rPr>
          <w:rStyle w:val="Strong"/>
          <w:b w:val="0"/>
        </w:rPr>
        <w:t>Author</w:t>
      </w:r>
      <w:r w:rsidRPr="00E2464D">
        <w:t xml:space="preserve"> &amp; Lajić, 2017; Lussier &amp; Blokland, 2017; Hanson &amp; Morton-Bourgon, 2005). Their criminal behavior is shaped by the interaction of static risk factors (e.g., prior criminal history, age) and dynamic factors (e.g., substance abuse, mental health status, motivation, treatment engagement) (</w:t>
      </w:r>
      <w:r w:rsidRPr="00E2464D">
        <w:rPr>
          <w:rStyle w:val="Strong"/>
          <w:b w:val="0"/>
        </w:rPr>
        <w:t>Author</w:t>
      </w:r>
      <w:r w:rsidRPr="00E2464D">
        <w:t xml:space="preserve"> et al., 2019a; Mulder et al., 2010; van den Berg et al., 2024; Zgoba et al., 2023; Yukhnenko, 2020).</w:t>
      </w:r>
    </w:p>
    <w:p w14:paraId="508691AA" w14:textId="77777777" w:rsidR="00913693" w:rsidRPr="00E2464D" w:rsidRDefault="00913693" w:rsidP="00913693">
      <w:pPr>
        <w:pStyle w:val="NormalWeb"/>
        <w:spacing w:before="0" w:beforeAutospacing="0" w:after="0" w:afterAutospacing="0" w:line="360" w:lineRule="auto"/>
        <w:ind w:firstLine="567"/>
        <w:jc w:val="both"/>
      </w:pPr>
      <w:r w:rsidRPr="00E2464D">
        <w:t>Despite persistent public and institutional myths portraying sexual offenders as uniformly high-risk recidivists, empirical evidence points to substantial heterogeneity within this population (</w:t>
      </w:r>
      <w:r w:rsidRPr="00E2464D">
        <w:rPr>
          <w:rStyle w:val="Strong"/>
          <w:b w:val="0"/>
        </w:rPr>
        <w:t>Author</w:t>
      </w:r>
      <w:r w:rsidRPr="00E2464D">
        <w:t xml:space="preserve"> et al., 2019b; Lajić et al., 2022). Differences are evident in psychological profiles (</w:t>
      </w:r>
      <w:r w:rsidRPr="00E2464D">
        <w:rPr>
          <w:rStyle w:val="Strong"/>
          <w:b w:val="0"/>
        </w:rPr>
        <w:t>Author</w:t>
      </w:r>
      <w:r w:rsidRPr="00E2464D">
        <w:t>, 2024) as well as in rates of repeated sexual offending (Lussier et al., 2024). Recidivism estimates vary considerably depending on offense type, follow-up duration, and methodological approach (Hanson et al., 2009; Harris &amp; Hanson, 2004; Lussier et al., 2023; Lussier et al., 2025).</w:t>
      </w:r>
    </w:p>
    <w:p w14:paraId="558F047E" w14:textId="77777777" w:rsidR="00913693" w:rsidRPr="00E2464D" w:rsidRDefault="00913693" w:rsidP="00913693">
      <w:pPr>
        <w:pStyle w:val="NormalWeb"/>
        <w:spacing w:before="0" w:beforeAutospacing="0" w:after="0" w:afterAutospacing="0" w:line="360" w:lineRule="auto"/>
        <w:ind w:firstLine="567"/>
        <w:jc w:val="both"/>
      </w:pPr>
      <w:r w:rsidRPr="00E2464D">
        <w:t>Meta-analytic findings further demonstrate that sexual recidivism rates are generally lower than commonly assumed, ranging from approximately 5% over three years (Langan et al., 2003) to about 11.5% with longer follow-up periods (Hanson et al., 2009), while general recidivism rates are substantially higher. Prior sexual convictions remain among the strongest predictors of future sexual reoffending, whereas advancing age is associated with reduced risk (Harris &amp; Hanson, 2004). Importantly, recidivism is not a uniform phenomenon: a relatively small subgroup of offenders exhibits high risk, while the majority show a considerably lower likelihood of reoffending (Hanson et al., 2009).</w:t>
      </w:r>
    </w:p>
    <w:p w14:paraId="6AAC3887" w14:textId="77777777" w:rsidR="00913693" w:rsidRPr="00E2464D" w:rsidRDefault="00913693" w:rsidP="00913693">
      <w:pPr>
        <w:pStyle w:val="NormalWeb"/>
        <w:spacing w:before="0" w:beforeAutospacing="0" w:after="0" w:afterAutospacing="0" w:line="360" w:lineRule="auto"/>
        <w:ind w:firstLine="567"/>
        <w:jc w:val="both"/>
      </w:pPr>
      <w:r w:rsidRPr="00E2464D">
        <w:t xml:space="preserve">Understanding both static and dynamic risk factors is therefore essential for effective prevention and treatment strategies (Coulter &amp; Lloyd, 2023; Hanson &amp; Morton-Bourgon, 2005; Kalaivanan et al., 2025; Yukhnenko et al., 2020). At the normative level, the criminal law concept of recidivism, rooted in the principle </w:t>
      </w:r>
      <w:r w:rsidRPr="00E2464D">
        <w:rPr>
          <w:rStyle w:val="Emphasis"/>
        </w:rPr>
        <w:t>Multiplicata transgressione crescat poenae inflictio</w:t>
      </w:r>
      <w:r w:rsidRPr="00E2464D">
        <w:t>, has generated ongoing legal and policy debates. In Serbia, amendments to the Criminal Code in 2019 introduced recidivism as a mandatory aggravating circumstance, thereby restricting judicial discretion and strengthening penal policy at the level of general norms (</w:t>
      </w:r>
      <w:r w:rsidRPr="00E2464D">
        <w:rPr>
          <w:rStyle w:val="Strong"/>
          <w:b w:val="0"/>
        </w:rPr>
        <w:t>Author</w:t>
      </w:r>
      <w:r w:rsidRPr="00E2464D">
        <w:t xml:space="preserve">, 2019; </w:t>
      </w:r>
      <w:r w:rsidRPr="00E2464D">
        <w:rPr>
          <w:rStyle w:val="Strong"/>
          <w:b w:val="0"/>
        </w:rPr>
        <w:t>Đorđević &amp; Author</w:t>
      </w:r>
      <w:r w:rsidRPr="00E2464D">
        <w:t>, 2020).</w:t>
      </w:r>
    </w:p>
    <w:p w14:paraId="6C017C51" w14:textId="77777777" w:rsidR="00913693" w:rsidRPr="00E2464D" w:rsidRDefault="00913693" w:rsidP="00913693">
      <w:pPr>
        <w:pStyle w:val="NormalWeb"/>
        <w:spacing w:before="0" w:beforeAutospacing="0" w:after="0" w:afterAutospacing="0" w:line="360" w:lineRule="auto"/>
        <w:ind w:firstLine="567"/>
        <w:jc w:val="both"/>
      </w:pPr>
      <w:r w:rsidRPr="00E2464D">
        <w:t xml:space="preserve">Research also underscores the importance of broader psychological and social factors, including antisocial traits, impulsivity, reduced empathy, personality disorders, adverse childhood experiences, and social marginalization, in understanding sexual offending and recidivism (Craig et al., 2008; Farrington, 2003; Juszczak &amp; Korzeniewski, 2016; </w:t>
      </w:r>
      <w:r w:rsidRPr="00E2464D">
        <w:rPr>
          <w:rStyle w:val="Strong"/>
          <w:b w:val="0"/>
        </w:rPr>
        <w:t>Author</w:t>
      </w:r>
      <w:r w:rsidRPr="00E2464D">
        <w:t>, 2021).</w:t>
      </w:r>
    </w:p>
    <w:p w14:paraId="100B1123" w14:textId="77777777" w:rsidR="00913693" w:rsidRPr="00E2464D" w:rsidRDefault="00913693" w:rsidP="00913693">
      <w:pPr>
        <w:pStyle w:val="NormalWeb"/>
        <w:spacing w:before="0" w:beforeAutospacing="0" w:after="0" w:afterAutospacing="0" w:line="360" w:lineRule="auto"/>
        <w:ind w:firstLine="567"/>
        <w:jc w:val="both"/>
      </w:pPr>
      <w:r w:rsidRPr="00E2464D">
        <w:t xml:space="preserve">Taken together, these findings highlight the need for a detailed retrospective analysis of risk factors and profiling of convicted rapists in order to improve risk assessment systems and develop more effective treatment, prevention, and criminal-law responses. Such efforts reflect the evolutionary nature of criminal law and the principle </w:t>
      </w:r>
      <w:r w:rsidRPr="00E2464D">
        <w:rPr>
          <w:rStyle w:val="Emphasis"/>
        </w:rPr>
        <w:t>ius criminale semper reformandum est</w:t>
      </w:r>
      <w:r w:rsidRPr="00E2464D">
        <w:t>, grounded in ongoing advances in criminology, penology, and forensic psychology.</w:t>
      </w:r>
    </w:p>
    <w:p w14:paraId="759B1AB4" w14:textId="77777777" w:rsidR="00275740" w:rsidRPr="00E2464D" w:rsidRDefault="00275740" w:rsidP="00913693">
      <w:pPr>
        <w:pStyle w:val="NormalWeb"/>
        <w:spacing w:before="0" w:beforeAutospacing="0" w:after="0" w:afterAutospacing="0" w:line="360" w:lineRule="auto"/>
        <w:ind w:firstLine="567"/>
        <w:jc w:val="both"/>
        <w:rPr>
          <w:sz w:val="10"/>
          <w:szCs w:val="10"/>
        </w:rPr>
      </w:pPr>
    </w:p>
    <w:p w14:paraId="36B4EEFF" w14:textId="77777777" w:rsidR="009F64B7" w:rsidRPr="00E2464D" w:rsidRDefault="009F64B7" w:rsidP="00CC03B9">
      <w:pPr>
        <w:pStyle w:val="NormalWeb"/>
        <w:spacing w:before="0" w:beforeAutospacing="0" w:after="0" w:afterAutospacing="0"/>
        <w:ind w:firstLine="720"/>
        <w:jc w:val="both"/>
        <w:rPr>
          <w:sz w:val="10"/>
          <w:szCs w:val="10"/>
        </w:rPr>
      </w:pPr>
    </w:p>
    <w:p w14:paraId="41BA4439" w14:textId="77777777" w:rsidR="00634316" w:rsidRPr="00E2464D" w:rsidRDefault="00634316" w:rsidP="00CC03B9">
      <w:pPr>
        <w:pStyle w:val="NormalWeb"/>
        <w:spacing w:before="0" w:beforeAutospacing="0" w:after="0" w:afterAutospacing="0"/>
        <w:jc w:val="both"/>
        <w:rPr>
          <w:sz w:val="10"/>
          <w:szCs w:val="10"/>
        </w:rPr>
      </w:pPr>
    </w:p>
    <w:p w14:paraId="21D81028" w14:textId="6974B299" w:rsidR="00634316" w:rsidRPr="00E2464D" w:rsidRDefault="00634316" w:rsidP="003D4FF5">
      <w:pPr>
        <w:pStyle w:val="NormalWeb"/>
        <w:spacing w:before="0" w:beforeAutospacing="0" w:after="0" w:afterAutospacing="0" w:line="360" w:lineRule="auto"/>
        <w:jc w:val="center"/>
        <w:rPr>
          <w:rStyle w:val="Strong"/>
          <w:b w:val="0"/>
          <w:i/>
        </w:rPr>
      </w:pPr>
      <w:r w:rsidRPr="00E2464D">
        <w:rPr>
          <w:rStyle w:val="Strong"/>
          <w:b w:val="0"/>
          <w:i/>
        </w:rPr>
        <w:t>Overview of the Current Study</w:t>
      </w:r>
    </w:p>
    <w:p w14:paraId="444C0E18" w14:textId="77777777" w:rsidR="00632751" w:rsidRPr="00E2464D" w:rsidRDefault="00632751" w:rsidP="003D4FF5">
      <w:pPr>
        <w:pStyle w:val="NormalWeb"/>
        <w:spacing w:before="0" w:beforeAutospacing="0" w:after="0" w:afterAutospacing="0" w:line="360" w:lineRule="auto"/>
        <w:jc w:val="both"/>
        <w:rPr>
          <w:sz w:val="10"/>
          <w:szCs w:val="10"/>
        </w:rPr>
      </w:pPr>
    </w:p>
    <w:p w14:paraId="28319CAB" w14:textId="006C8FB3" w:rsidR="00CC03B9" w:rsidRPr="00E2464D" w:rsidRDefault="00CC03B9" w:rsidP="00CC03B9">
      <w:pPr>
        <w:pStyle w:val="NormalWeb"/>
        <w:spacing w:before="0" w:beforeAutospacing="0" w:after="0" w:afterAutospacing="0" w:line="360" w:lineRule="auto"/>
        <w:ind w:firstLine="567"/>
        <w:jc w:val="both"/>
      </w:pPr>
      <w:r w:rsidRPr="00E2464D">
        <w:t>This study presents a retrospective analysis of the association between static and dynamic factors and recidivism among convicted rapists, based on data obtained from official records of penal and correctional institutions in the Republic of Serbia for the period from 2014 to 2023.</w:t>
      </w:r>
    </w:p>
    <w:p w14:paraId="40D6C4D3" w14:textId="326426F6" w:rsidR="00CC03B9" w:rsidRPr="00E2464D" w:rsidRDefault="00CC03B9" w:rsidP="00CC03B9">
      <w:pPr>
        <w:pStyle w:val="NormalWeb"/>
        <w:spacing w:before="0" w:beforeAutospacing="0" w:after="0" w:afterAutospacing="0" w:line="360" w:lineRule="auto"/>
        <w:ind w:firstLine="567"/>
        <w:jc w:val="both"/>
      </w:pPr>
      <w:r w:rsidRPr="00E2464D">
        <w:t>The aim of the study was to identify high-risk subgroups of offenders through the analysis of static demographic and criminological characteristics, as well as to exam</w:t>
      </w:r>
      <w:r w:rsidR="007E6AFA">
        <w:t>ine the role of dynamic factors-</w:t>
      </w:r>
      <w:r w:rsidRPr="00E2464D">
        <w:t>such as alcohol and drug abuse and participation in rehabilitation programs</w:t>
      </w:r>
      <w:r w:rsidR="007E6AFA">
        <w:t>-</w:t>
      </w:r>
      <w:r w:rsidRPr="00E2464D">
        <w:t>in increasing or reducing the risk of recidivism. Particular attention was given to the association between the length of imposed prison sentences and prior convictions for sexual and non-sexual offenses and the likelihood of reoffending, as well as to the effects of participation in rehabilitation programs.</w:t>
      </w:r>
    </w:p>
    <w:p w14:paraId="473491E7" w14:textId="3F6D85E0" w:rsidR="00CC03B9" w:rsidRDefault="00CC03B9" w:rsidP="00CC03B9">
      <w:pPr>
        <w:pStyle w:val="NormalWeb"/>
        <w:spacing w:before="0" w:beforeAutospacing="0" w:after="0" w:afterAutospacing="0" w:line="360" w:lineRule="auto"/>
        <w:ind w:firstLine="567"/>
        <w:jc w:val="both"/>
      </w:pPr>
      <w:r w:rsidRPr="00E2464D">
        <w:t>The study distinguished three types of recidivism: sexual, violent, and general. Static factors included time-invariant characteristics, such as prior criminal history, age at the time of the offense, and the severity of previous offenses, whereas dynamic factors encompassed changeable circumstances, including mental health status, substance abuse, and engagement in rehabilitation programs.</w:t>
      </w:r>
    </w:p>
    <w:p w14:paraId="67B5B2D9" w14:textId="63D5F294" w:rsidR="007E6AFA" w:rsidRDefault="007E6AFA" w:rsidP="00CC03B9">
      <w:pPr>
        <w:pStyle w:val="NormalWeb"/>
        <w:spacing w:before="0" w:beforeAutospacing="0" w:after="0" w:afterAutospacing="0" w:line="360" w:lineRule="auto"/>
        <w:ind w:firstLine="567"/>
        <w:jc w:val="both"/>
      </w:pPr>
      <w:r>
        <w:t>The analysed static factors included basic demographic characteristics, criminal history, and the presence of mental or personality disorders. Dynamic factors comprised alcohol and drug abuse, participation in rehabilitation programmes, as well as occupational and educational engagement during imprisonment</w:t>
      </w:r>
      <w:r w:rsidRPr="003F06C8">
        <w:t>. The length of the prison sentence was not treated as a risk factor but was considered solely as an institutional and contextual variable.</w:t>
      </w:r>
    </w:p>
    <w:p w14:paraId="50A0969B" w14:textId="6080C876" w:rsidR="00926908" w:rsidRPr="00926908" w:rsidRDefault="00926908" w:rsidP="007E6AFA">
      <w:pPr>
        <w:pStyle w:val="NormalWeb"/>
        <w:spacing w:before="0" w:beforeAutospacing="0" w:after="0" w:afterAutospacing="0" w:line="360" w:lineRule="auto"/>
        <w:jc w:val="both"/>
      </w:pPr>
    </w:p>
    <w:p w14:paraId="7124BBF1" w14:textId="28B24518" w:rsidR="00F5334D" w:rsidRPr="00E2464D" w:rsidRDefault="0039734C" w:rsidP="003D4FF5">
      <w:pPr>
        <w:spacing w:after="0" w:line="360" w:lineRule="auto"/>
        <w:jc w:val="center"/>
        <w:rPr>
          <w:rFonts w:ascii="Times New Roman" w:hAnsi="Times New Roman" w:cs="Times New Roman"/>
          <w:bCs/>
          <w:i/>
          <w:sz w:val="24"/>
          <w:szCs w:val="24"/>
        </w:rPr>
      </w:pPr>
      <w:r w:rsidRPr="00E2464D">
        <w:rPr>
          <w:rFonts w:ascii="Times New Roman" w:hAnsi="Times New Roman" w:cs="Times New Roman"/>
          <w:bCs/>
          <w:i/>
          <w:sz w:val="24"/>
          <w:szCs w:val="24"/>
        </w:rPr>
        <w:t>METHOD</w:t>
      </w:r>
    </w:p>
    <w:p w14:paraId="294AFC7F" w14:textId="77777777" w:rsidR="00F5334D" w:rsidRPr="00E2464D" w:rsidRDefault="00F5334D" w:rsidP="003D4FF5">
      <w:pPr>
        <w:spacing w:after="0" w:line="360" w:lineRule="auto"/>
        <w:jc w:val="center"/>
        <w:rPr>
          <w:rFonts w:ascii="Times New Roman" w:hAnsi="Times New Roman" w:cs="Times New Roman"/>
          <w:bCs/>
          <w:sz w:val="10"/>
          <w:szCs w:val="10"/>
        </w:rPr>
      </w:pPr>
    </w:p>
    <w:p w14:paraId="59949F5B" w14:textId="7429903E" w:rsidR="00A7182E" w:rsidRPr="00E2464D" w:rsidRDefault="00632751" w:rsidP="003D4FF5">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t>Sample and P</w:t>
      </w:r>
      <w:r w:rsidR="00A7182E" w:rsidRPr="00E2464D">
        <w:rPr>
          <w:rFonts w:ascii="Times New Roman" w:hAnsi="Times New Roman" w:cs="Times New Roman"/>
          <w:i/>
          <w:iCs/>
          <w:sz w:val="24"/>
          <w:szCs w:val="24"/>
        </w:rPr>
        <w:t>rocedure</w:t>
      </w:r>
    </w:p>
    <w:p w14:paraId="14A05C7F" w14:textId="77777777" w:rsidR="003D4FF5" w:rsidRPr="00E2464D" w:rsidRDefault="003D4FF5" w:rsidP="003D4FF5">
      <w:pPr>
        <w:spacing w:after="0" w:line="360" w:lineRule="auto"/>
        <w:jc w:val="center"/>
        <w:rPr>
          <w:rFonts w:ascii="Times New Roman" w:hAnsi="Times New Roman" w:cs="Times New Roman"/>
          <w:iCs/>
          <w:sz w:val="16"/>
          <w:szCs w:val="16"/>
        </w:rPr>
      </w:pPr>
    </w:p>
    <w:p w14:paraId="14F56E5C" w14:textId="49D8529E" w:rsidR="00A7182E" w:rsidRPr="00E2464D" w:rsidRDefault="00A7182E" w:rsidP="0039734C">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A total of 560 individuals convicted of the criminal offense of rape (Article 178 of the Criminal Code of the Republic of Serbia) between 2014 and 2023 were included in the study. Official data for scientific research purposes were provided by the Ministry of Justice of the Republic of Serbia, Directorate for the Execution of Criminal Sanctions (Ref. No. 7-00-00001/2024-02/26, dated April 25, 2024), following a formal request from the University of Criminal Investigation and Police Studies (Ref. No. 02-128/1).</w:t>
      </w:r>
    </w:p>
    <w:p w14:paraId="0C8B8F8D" w14:textId="5CDC968D" w:rsidR="00A7182E" w:rsidRPr="00E2464D" w:rsidRDefault="00A7182E" w:rsidP="0039734C">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The highest percentages of convictions for the criminal offense of rape were recorded in 2023 (16.4%) and 2014 (13.8%), while the lowest percentages were observed in 2021 (6.8%) and 2022 (4.3%). Sociodemographic characteristics of the sample are presented in Table 1. The average age of convicted individuals was 45.42 years (SD = 19.24). The imposed prison sentences for the committed offense ranged from less than one year to 19 years, with an average length of incarceration at the time of data collection being 4.02 years (SD = 3.49).</w:t>
      </w:r>
    </w:p>
    <w:p w14:paraId="0416E6DF" w14:textId="545D4661" w:rsidR="002B21CC" w:rsidRDefault="00F5334D" w:rsidP="0039734C">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The majority of respondents had completed either primary (38.8%) or secondary education (21.8%), were unemployed (78.8%), and did not have a partner (60.4%). Regarding recidivism, most respondents were not repeat offenders for rape or other offenses classified under crimes against sexual freedom. However, 12.7% of the respondents were recidivists specifically for rape, while an additional 26.3% were recidivists for other criminal offenses classified under crimes against sexual freedom, excluding rape.</w:t>
      </w:r>
    </w:p>
    <w:p w14:paraId="3E9808B0" w14:textId="6F342271" w:rsidR="00CC03B9" w:rsidRPr="00E2464D" w:rsidRDefault="00CC03B9" w:rsidP="00A046BA">
      <w:pPr>
        <w:spacing w:after="0" w:line="360" w:lineRule="auto"/>
        <w:jc w:val="both"/>
        <w:rPr>
          <w:rFonts w:ascii="Times New Roman" w:hAnsi="Times New Roman" w:cs="Times New Roman"/>
          <w:bCs/>
          <w:sz w:val="10"/>
          <w:szCs w:val="10"/>
        </w:rPr>
      </w:pPr>
    </w:p>
    <w:p w14:paraId="2A66BCBF" w14:textId="77777777" w:rsidR="00CC03B9" w:rsidRPr="00E2464D" w:rsidRDefault="00CC03B9" w:rsidP="00A046BA">
      <w:pPr>
        <w:spacing w:after="0" w:line="360" w:lineRule="auto"/>
        <w:jc w:val="both"/>
        <w:rPr>
          <w:rFonts w:ascii="Times New Roman" w:hAnsi="Times New Roman" w:cs="Times New Roman"/>
          <w:bCs/>
          <w:sz w:val="10"/>
          <w:szCs w:val="10"/>
        </w:rPr>
      </w:pPr>
    </w:p>
    <w:p w14:paraId="08B40FF1" w14:textId="5875B0E8" w:rsidR="00F5334D" w:rsidRPr="00E2464D" w:rsidRDefault="00B43021" w:rsidP="009217EE">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1</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Sociodemographic characteristics of the sample</w:t>
      </w:r>
    </w:p>
    <w:p w14:paraId="7ED444FF" w14:textId="77777777" w:rsidR="00F5334D" w:rsidRPr="00E2464D" w:rsidRDefault="00F5334D" w:rsidP="009217EE">
      <w:pPr>
        <w:spacing w:after="0" w:line="360" w:lineRule="auto"/>
        <w:jc w:val="both"/>
        <w:rPr>
          <w:rFonts w:ascii="Times New Roman" w:hAnsi="Times New Roman" w:cs="Times New Roman"/>
          <w:sz w:val="10"/>
          <w:szCs w:val="10"/>
        </w:rPr>
      </w:pPr>
    </w:p>
    <w:tbl>
      <w:tblPr>
        <w:tblW w:w="0" w:type="auto"/>
        <w:jc w:val="center"/>
        <w:tblLook w:val="04A0" w:firstRow="1" w:lastRow="0" w:firstColumn="1" w:lastColumn="0" w:noHBand="0" w:noVBand="1"/>
      </w:tblPr>
      <w:tblGrid>
        <w:gridCol w:w="1549"/>
        <w:gridCol w:w="3309"/>
        <w:gridCol w:w="576"/>
        <w:gridCol w:w="636"/>
      </w:tblGrid>
      <w:tr w:rsidR="00410BF2" w:rsidRPr="00E2464D" w14:paraId="5BDEEFBF" w14:textId="77777777" w:rsidTr="00C96A31">
        <w:trPr>
          <w:trHeight w:val="312"/>
          <w:jc w:val="center"/>
        </w:trPr>
        <w:tc>
          <w:tcPr>
            <w:tcW w:w="0" w:type="auto"/>
            <w:tcBorders>
              <w:top w:val="single" w:sz="8" w:space="0" w:color="auto"/>
              <w:bottom w:val="single" w:sz="8" w:space="0" w:color="auto"/>
            </w:tcBorders>
            <w:noWrap/>
            <w:vAlign w:val="center"/>
            <w:hideMark/>
          </w:tcPr>
          <w:p w14:paraId="41FFF76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bookmarkStart w:id="0" w:name="_Hlk190523942"/>
            <w:r w:rsidRPr="00E2464D">
              <w:rPr>
                <w:rFonts w:ascii="Times New Roman" w:hAnsi="Times New Roman" w:cs="Times New Roman"/>
                <w:sz w:val="24"/>
                <w:szCs w:val="24"/>
              </w:rPr>
              <w:t>Characteristic</w:t>
            </w:r>
          </w:p>
        </w:tc>
        <w:tc>
          <w:tcPr>
            <w:tcW w:w="0" w:type="auto"/>
            <w:tcBorders>
              <w:top w:val="single" w:sz="8" w:space="0" w:color="auto"/>
              <w:bottom w:val="single" w:sz="8" w:space="0" w:color="auto"/>
            </w:tcBorders>
            <w:noWrap/>
            <w:vAlign w:val="center"/>
            <w:hideMark/>
          </w:tcPr>
          <w:p w14:paraId="13C35C8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Category</w:t>
            </w:r>
          </w:p>
        </w:tc>
        <w:tc>
          <w:tcPr>
            <w:tcW w:w="0" w:type="auto"/>
            <w:tcBorders>
              <w:top w:val="single" w:sz="8" w:space="0" w:color="auto"/>
              <w:bottom w:val="single" w:sz="8" w:space="0" w:color="auto"/>
            </w:tcBorders>
            <w:noWrap/>
            <w:vAlign w:val="center"/>
            <w:hideMark/>
          </w:tcPr>
          <w:p w14:paraId="48C1514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N</w:t>
            </w:r>
          </w:p>
        </w:tc>
        <w:tc>
          <w:tcPr>
            <w:tcW w:w="0" w:type="auto"/>
            <w:tcBorders>
              <w:top w:val="single" w:sz="8" w:space="0" w:color="auto"/>
              <w:bottom w:val="single" w:sz="8" w:space="0" w:color="auto"/>
            </w:tcBorders>
            <w:noWrap/>
            <w:vAlign w:val="center"/>
            <w:hideMark/>
          </w:tcPr>
          <w:p w14:paraId="3B58E1E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w:t>
            </w:r>
          </w:p>
        </w:tc>
      </w:tr>
      <w:tr w:rsidR="00410BF2" w:rsidRPr="00E2464D" w14:paraId="7BB38FC5" w14:textId="77777777" w:rsidTr="00C96A31">
        <w:trPr>
          <w:trHeight w:val="300"/>
          <w:jc w:val="center"/>
        </w:trPr>
        <w:tc>
          <w:tcPr>
            <w:tcW w:w="0" w:type="auto"/>
            <w:vMerge w:val="restart"/>
            <w:tcBorders>
              <w:top w:val="single" w:sz="8" w:space="0" w:color="auto"/>
            </w:tcBorders>
            <w:vAlign w:val="center"/>
            <w:hideMark/>
          </w:tcPr>
          <w:p w14:paraId="12A05F4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Education</w:t>
            </w:r>
          </w:p>
        </w:tc>
        <w:tc>
          <w:tcPr>
            <w:tcW w:w="0" w:type="auto"/>
            <w:tcBorders>
              <w:top w:val="single" w:sz="8" w:space="0" w:color="auto"/>
            </w:tcBorders>
            <w:noWrap/>
            <w:vAlign w:val="center"/>
            <w:hideMark/>
          </w:tcPr>
          <w:p w14:paraId="2D733DE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No primary education / illiterate</w:t>
            </w:r>
          </w:p>
        </w:tc>
        <w:tc>
          <w:tcPr>
            <w:tcW w:w="0" w:type="auto"/>
            <w:tcBorders>
              <w:top w:val="single" w:sz="8" w:space="0" w:color="auto"/>
            </w:tcBorders>
            <w:noWrap/>
            <w:vAlign w:val="center"/>
            <w:hideMark/>
          </w:tcPr>
          <w:p w14:paraId="391A48A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57</w:t>
            </w:r>
          </w:p>
        </w:tc>
        <w:tc>
          <w:tcPr>
            <w:tcW w:w="0" w:type="auto"/>
            <w:tcBorders>
              <w:top w:val="single" w:sz="8" w:space="0" w:color="auto"/>
            </w:tcBorders>
            <w:noWrap/>
            <w:vAlign w:val="center"/>
            <w:hideMark/>
          </w:tcPr>
          <w:p w14:paraId="40619C3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10.2</w:t>
            </w:r>
          </w:p>
        </w:tc>
      </w:tr>
      <w:tr w:rsidR="00410BF2" w:rsidRPr="00E2464D" w14:paraId="63B8DDC0" w14:textId="77777777" w:rsidTr="00C96A31">
        <w:trPr>
          <w:trHeight w:val="288"/>
          <w:jc w:val="center"/>
        </w:trPr>
        <w:tc>
          <w:tcPr>
            <w:tcW w:w="0" w:type="auto"/>
            <w:vMerge/>
            <w:vAlign w:val="center"/>
            <w:hideMark/>
          </w:tcPr>
          <w:p w14:paraId="329F80F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C22412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Incomplete primary school</w:t>
            </w:r>
          </w:p>
        </w:tc>
        <w:tc>
          <w:tcPr>
            <w:tcW w:w="0" w:type="auto"/>
            <w:noWrap/>
            <w:vAlign w:val="center"/>
            <w:hideMark/>
          </w:tcPr>
          <w:p w14:paraId="3929E6A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56</w:t>
            </w:r>
          </w:p>
        </w:tc>
        <w:tc>
          <w:tcPr>
            <w:tcW w:w="0" w:type="auto"/>
            <w:noWrap/>
            <w:vAlign w:val="center"/>
            <w:hideMark/>
          </w:tcPr>
          <w:p w14:paraId="1781A58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10.0</w:t>
            </w:r>
          </w:p>
        </w:tc>
      </w:tr>
      <w:tr w:rsidR="00410BF2" w:rsidRPr="00E2464D" w14:paraId="7B7E54AF" w14:textId="77777777" w:rsidTr="00C96A31">
        <w:trPr>
          <w:trHeight w:val="288"/>
          <w:jc w:val="center"/>
        </w:trPr>
        <w:tc>
          <w:tcPr>
            <w:tcW w:w="0" w:type="auto"/>
            <w:vMerge/>
            <w:vAlign w:val="center"/>
            <w:hideMark/>
          </w:tcPr>
          <w:p w14:paraId="461FEC2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51B4B45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Primary school</w:t>
            </w:r>
          </w:p>
        </w:tc>
        <w:tc>
          <w:tcPr>
            <w:tcW w:w="0" w:type="auto"/>
            <w:noWrap/>
            <w:vAlign w:val="center"/>
            <w:hideMark/>
          </w:tcPr>
          <w:p w14:paraId="1C76813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217</w:t>
            </w:r>
          </w:p>
        </w:tc>
        <w:tc>
          <w:tcPr>
            <w:tcW w:w="0" w:type="auto"/>
            <w:noWrap/>
            <w:vAlign w:val="center"/>
            <w:hideMark/>
          </w:tcPr>
          <w:p w14:paraId="0946C84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38.8</w:t>
            </w:r>
          </w:p>
        </w:tc>
      </w:tr>
      <w:tr w:rsidR="00410BF2" w:rsidRPr="00E2464D" w14:paraId="2C5885A2" w14:textId="77777777" w:rsidTr="00C96A31">
        <w:trPr>
          <w:trHeight w:val="288"/>
          <w:jc w:val="center"/>
        </w:trPr>
        <w:tc>
          <w:tcPr>
            <w:tcW w:w="0" w:type="auto"/>
            <w:vMerge/>
            <w:vAlign w:val="center"/>
            <w:hideMark/>
          </w:tcPr>
          <w:p w14:paraId="3883B84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3042768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Secondary school</w:t>
            </w:r>
          </w:p>
        </w:tc>
        <w:tc>
          <w:tcPr>
            <w:tcW w:w="0" w:type="auto"/>
            <w:noWrap/>
            <w:vAlign w:val="center"/>
            <w:hideMark/>
          </w:tcPr>
          <w:p w14:paraId="00CB06D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122</w:t>
            </w:r>
          </w:p>
        </w:tc>
        <w:tc>
          <w:tcPr>
            <w:tcW w:w="0" w:type="auto"/>
            <w:noWrap/>
            <w:vAlign w:val="center"/>
            <w:hideMark/>
          </w:tcPr>
          <w:p w14:paraId="07D25D78"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21.8</w:t>
            </w:r>
          </w:p>
        </w:tc>
      </w:tr>
      <w:tr w:rsidR="00410BF2" w:rsidRPr="00E2464D" w14:paraId="044791EF" w14:textId="77777777" w:rsidTr="00C96A31">
        <w:trPr>
          <w:trHeight w:val="288"/>
          <w:jc w:val="center"/>
        </w:trPr>
        <w:tc>
          <w:tcPr>
            <w:tcW w:w="0" w:type="auto"/>
            <w:vMerge/>
            <w:vAlign w:val="center"/>
            <w:hideMark/>
          </w:tcPr>
          <w:p w14:paraId="5B0B704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60E0375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Higher education</w:t>
            </w:r>
          </w:p>
        </w:tc>
        <w:tc>
          <w:tcPr>
            <w:tcW w:w="0" w:type="auto"/>
            <w:noWrap/>
            <w:vAlign w:val="center"/>
            <w:hideMark/>
          </w:tcPr>
          <w:p w14:paraId="14B8D6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w:t>
            </w:r>
          </w:p>
        </w:tc>
        <w:tc>
          <w:tcPr>
            <w:tcW w:w="0" w:type="auto"/>
            <w:noWrap/>
            <w:vAlign w:val="center"/>
            <w:hideMark/>
          </w:tcPr>
          <w:p w14:paraId="1216806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w:t>
            </w:r>
          </w:p>
        </w:tc>
      </w:tr>
      <w:tr w:rsidR="00410BF2" w:rsidRPr="00E2464D" w14:paraId="41A6D2D8" w14:textId="77777777" w:rsidTr="00C96A31">
        <w:trPr>
          <w:trHeight w:val="288"/>
          <w:jc w:val="center"/>
        </w:trPr>
        <w:tc>
          <w:tcPr>
            <w:tcW w:w="0" w:type="auto"/>
            <w:vMerge/>
            <w:vAlign w:val="center"/>
            <w:hideMark/>
          </w:tcPr>
          <w:p w14:paraId="48B633F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10F5A3F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3AA0FF6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96</w:t>
            </w:r>
          </w:p>
        </w:tc>
        <w:tc>
          <w:tcPr>
            <w:tcW w:w="0" w:type="auto"/>
            <w:noWrap/>
            <w:vAlign w:val="center"/>
            <w:hideMark/>
          </w:tcPr>
          <w:p w14:paraId="4D72A16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17.1</w:t>
            </w:r>
          </w:p>
        </w:tc>
      </w:tr>
      <w:tr w:rsidR="00410BF2" w:rsidRPr="00E2464D" w14:paraId="2451E064" w14:textId="77777777" w:rsidTr="00C96A31">
        <w:trPr>
          <w:trHeight w:val="300"/>
          <w:jc w:val="center"/>
        </w:trPr>
        <w:tc>
          <w:tcPr>
            <w:tcW w:w="0" w:type="auto"/>
            <w:noWrap/>
            <w:vAlign w:val="center"/>
            <w:hideMark/>
          </w:tcPr>
          <w:p w14:paraId="37F38DEC"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15986E54"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13CD4CF5"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460E0E92"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371DAAF1" w14:textId="77777777" w:rsidTr="00C96A31">
        <w:trPr>
          <w:trHeight w:val="300"/>
          <w:jc w:val="center"/>
        </w:trPr>
        <w:tc>
          <w:tcPr>
            <w:tcW w:w="0" w:type="auto"/>
            <w:vMerge w:val="restart"/>
            <w:noWrap/>
            <w:vAlign w:val="center"/>
            <w:hideMark/>
          </w:tcPr>
          <w:p w14:paraId="741A1EA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Employment</w:t>
            </w:r>
          </w:p>
        </w:tc>
        <w:tc>
          <w:tcPr>
            <w:tcW w:w="0" w:type="auto"/>
            <w:noWrap/>
            <w:vAlign w:val="center"/>
            <w:hideMark/>
          </w:tcPr>
          <w:p w14:paraId="291649E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Unemployed</w:t>
            </w:r>
          </w:p>
        </w:tc>
        <w:tc>
          <w:tcPr>
            <w:tcW w:w="0" w:type="auto"/>
            <w:noWrap/>
            <w:vAlign w:val="center"/>
            <w:hideMark/>
          </w:tcPr>
          <w:p w14:paraId="571DF1F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441</w:t>
            </w:r>
          </w:p>
        </w:tc>
        <w:tc>
          <w:tcPr>
            <w:tcW w:w="0" w:type="auto"/>
            <w:noWrap/>
            <w:vAlign w:val="center"/>
            <w:hideMark/>
          </w:tcPr>
          <w:p w14:paraId="32D882C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78.8</w:t>
            </w:r>
          </w:p>
        </w:tc>
      </w:tr>
      <w:tr w:rsidR="00410BF2" w:rsidRPr="00E2464D" w14:paraId="7A948264" w14:textId="77777777" w:rsidTr="00C96A31">
        <w:trPr>
          <w:trHeight w:val="300"/>
          <w:jc w:val="center"/>
        </w:trPr>
        <w:tc>
          <w:tcPr>
            <w:tcW w:w="0" w:type="auto"/>
            <w:vMerge/>
            <w:noWrap/>
            <w:vAlign w:val="center"/>
            <w:hideMark/>
          </w:tcPr>
          <w:p w14:paraId="08339E3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3F4891F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Employed</w:t>
            </w:r>
          </w:p>
        </w:tc>
        <w:tc>
          <w:tcPr>
            <w:tcW w:w="0" w:type="auto"/>
            <w:noWrap/>
            <w:vAlign w:val="center"/>
            <w:hideMark/>
          </w:tcPr>
          <w:p w14:paraId="5E13CA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91</w:t>
            </w:r>
          </w:p>
        </w:tc>
        <w:tc>
          <w:tcPr>
            <w:tcW w:w="0" w:type="auto"/>
            <w:noWrap/>
            <w:vAlign w:val="center"/>
            <w:hideMark/>
          </w:tcPr>
          <w:p w14:paraId="383C40F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16.3</w:t>
            </w:r>
          </w:p>
        </w:tc>
      </w:tr>
      <w:tr w:rsidR="00410BF2" w:rsidRPr="00E2464D" w14:paraId="566659DF" w14:textId="77777777" w:rsidTr="00C96A31">
        <w:trPr>
          <w:trHeight w:val="312"/>
          <w:jc w:val="center"/>
        </w:trPr>
        <w:tc>
          <w:tcPr>
            <w:tcW w:w="0" w:type="auto"/>
            <w:vMerge/>
            <w:noWrap/>
            <w:vAlign w:val="center"/>
            <w:hideMark/>
          </w:tcPr>
          <w:p w14:paraId="2E5B278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7A08EB0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Retired</w:t>
            </w:r>
          </w:p>
        </w:tc>
        <w:tc>
          <w:tcPr>
            <w:tcW w:w="0" w:type="auto"/>
            <w:noWrap/>
            <w:vAlign w:val="center"/>
            <w:hideMark/>
          </w:tcPr>
          <w:p w14:paraId="432CEB6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w:t>
            </w:r>
          </w:p>
        </w:tc>
        <w:tc>
          <w:tcPr>
            <w:tcW w:w="0" w:type="auto"/>
            <w:noWrap/>
            <w:vAlign w:val="center"/>
            <w:hideMark/>
          </w:tcPr>
          <w:p w14:paraId="2D4F4DB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1.3</w:t>
            </w:r>
          </w:p>
        </w:tc>
      </w:tr>
      <w:tr w:rsidR="00410BF2" w:rsidRPr="00E2464D" w14:paraId="09AF5C1C" w14:textId="77777777" w:rsidTr="00C96A31">
        <w:trPr>
          <w:trHeight w:val="300"/>
          <w:jc w:val="center"/>
        </w:trPr>
        <w:tc>
          <w:tcPr>
            <w:tcW w:w="0" w:type="auto"/>
            <w:vMerge/>
            <w:noWrap/>
            <w:vAlign w:val="center"/>
            <w:hideMark/>
          </w:tcPr>
          <w:p w14:paraId="2F92B6C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A7A9FF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3D56F4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w:t>
            </w:r>
          </w:p>
        </w:tc>
        <w:tc>
          <w:tcPr>
            <w:tcW w:w="0" w:type="auto"/>
            <w:noWrap/>
            <w:vAlign w:val="center"/>
            <w:hideMark/>
          </w:tcPr>
          <w:p w14:paraId="4BFB7B2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3.8</w:t>
            </w:r>
          </w:p>
        </w:tc>
      </w:tr>
      <w:tr w:rsidR="00410BF2" w:rsidRPr="00E2464D" w14:paraId="52AA9EA0" w14:textId="77777777" w:rsidTr="00C96A31">
        <w:trPr>
          <w:trHeight w:val="300"/>
          <w:jc w:val="center"/>
        </w:trPr>
        <w:tc>
          <w:tcPr>
            <w:tcW w:w="0" w:type="auto"/>
            <w:noWrap/>
            <w:vAlign w:val="center"/>
            <w:hideMark/>
          </w:tcPr>
          <w:p w14:paraId="276D5DB7"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0313CE9C" w14:textId="0351FB05"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29E9F47D"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0F5533A3"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6B779030" w14:textId="77777777" w:rsidTr="00C96A31">
        <w:trPr>
          <w:trHeight w:val="300"/>
          <w:jc w:val="center"/>
        </w:trPr>
        <w:tc>
          <w:tcPr>
            <w:tcW w:w="0" w:type="auto"/>
            <w:vMerge w:val="restart"/>
            <w:noWrap/>
            <w:vAlign w:val="center"/>
            <w:hideMark/>
          </w:tcPr>
          <w:p w14:paraId="7694329E" w14:textId="77777777" w:rsidR="00410BF2" w:rsidRPr="00E2464D" w:rsidRDefault="00410BF2" w:rsidP="009217EE">
            <w:pPr>
              <w:spacing w:after="0" w:line="360" w:lineRule="auto"/>
              <w:jc w:val="both"/>
              <w:rPr>
                <w:rFonts w:ascii="Times New Roman" w:hAnsi="Times New Roman" w:cs="Times New Roman"/>
                <w:sz w:val="24"/>
                <w:szCs w:val="24"/>
              </w:rPr>
            </w:pPr>
            <w:r w:rsidRPr="00E2464D">
              <w:rPr>
                <w:rFonts w:ascii="Times New Roman" w:hAnsi="Times New Roman" w:cs="Times New Roman"/>
                <w:sz w:val="24"/>
                <w:szCs w:val="24"/>
              </w:rPr>
              <w:t>Marital status</w:t>
            </w:r>
          </w:p>
        </w:tc>
        <w:tc>
          <w:tcPr>
            <w:tcW w:w="0" w:type="auto"/>
            <w:noWrap/>
            <w:vAlign w:val="center"/>
            <w:hideMark/>
          </w:tcPr>
          <w:p w14:paraId="2E66D7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Cohabiting</w:t>
            </w:r>
          </w:p>
        </w:tc>
        <w:tc>
          <w:tcPr>
            <w:tcW w:w="0" w:type="auto"/>
            <w:noWrap/>
            <w:vAlign w:val="center"/>
            <w:hideMark/>
          </w:tcPr>
          <w:p w14:paraId="3A55E18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58</w:t>
            </w:r>
          </w:p>
        </w:tc>
        <w:tc>
          <w:tcPr>
            <w:tcW w:w="0" w:type="auto"/>
            <w:noWrap/>
            <w:vAlign w:val="center"/>
            <w:hideMark/>
          </w:tcPr>
          <w:p w14:paraId="0BB9A18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10.4</w:t>
            </w:r>
          </w:p>
        </w:tc>
      </w:tr>
      <w:tr w:rsidR="00410BF2" w:rsidRPr="00E2464D" w14:paraId="52A21AB1" w14:textId="77777777" w:rsidTr="00C96A31">
        <w:trPr>
          <w:trHeight w:val="288"/>
          <w:jc w:val="center"/>
        </w:trPr>
        <w:tc>
          <w:tcPr>
            <w:tcW w:w="0" w:type="auto"/>
            <w:vMerge/>
            <w:vAlign w:val="center"/>
            <w:hideMark/>
          </w:tcPr>
          <w:p w14:paraId="64E365D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2C6D23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Single</w:t>
            </w:r>
          </w:p>
        </w:tc>
        <w:tc>
          <w:tcPr>
            <w:tcW w:w="0" w:type="auto"/>
            <w:noWrap/>
            <w:vAlign w:val="center"/>
            <w:hideMark/>
          </w:tcPr>
          <w:p w14:paraId="207BF53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338</w:t>
            </w:r>
          </w:p>
        </w:tc>
        <w:tc>
          <w:tcPr>
            <w:tcW w:w="0" w:type="auto"/>
            <w:noWrap/>
            <w:vAlign w:val="center"/>
            <w:hideMark/>
          </w:tcPr>
          <w:p w14:paraId="4E7AA89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60.4</w:t>
            </w:r>
          </w:p>
        </w:tc>
      </w:tr>
      <w:tr w:rsidR="00410BF2" w:rsidRPr="00E2464D" w14:paraId="3252E9A8" w14:textId="77777777" w:rsidTr="00C96A31">
        <w:trPr>
          <w:trHeight w:val="300"/>
          <w:jc w:val="center"/>
        </w:trPr>
        <w:tc>
          <w:tcPr>
            <w:tcW w:w="0" w:type="auto"/>
            <w:vMerge/>
            <w:vAlign w:val="center"/>
            <w:hideMark/>
          </w:tcPr>
          <w:p w14:paraId="2FE6EBD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48F2746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Married</w:t>
            </w:r>
          </w:p>
        </w:tc>
        <w:tc>
          <w:tcPr>
            <w:tcW w:w="0" w:type="auto"/>
            <w:noWrap/>
            <w:vAlign w:val="center"/>
            <w:hideMark/>
          </w:tcPr>
          <w:p w14:paraId="1867FFA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140</w:t>
            </w:r>
          </w:p>
        </w:tc>
        <w:tc>
          <w:tcPr>
            <w:tcW w:w="0" w:type="auto"/>
            <w:noWrap/>
            <w:vAlign w:val="center"/>
            <w:hideMark/>
          </w:tcPr>
          <w:p w14:paraId="68C6EBD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25.0</w:t>
            </w:r>
          </w:p>
        </w:tc>
      </w:tr>
      <w:tr w:rsidR="00410BF2" w:rsidRPr="00E2464D" w14:paraId="50A34752" w14:textId="77777777" w:rsidTr="00C96A31">
        <w:trPr>
          <w:trHeight w:val="300"/>
          <w:jc w:val="center"/>
        </w:trPr>
        <w:tc>
          <w:tcPr>
            <w:tcW w:w="0" w:type="auto"/>
            <w:vMerge/>
            <w:vAlign w:val="center"/>
            <w:hideMark/>
          </w:tcPr>
          <w:p w14:paraId="31DA953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99C42B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Widowed</w:t>
            </w:r>
          </w:p>
        </w:tc>
        <w:tc>
          <w:tcPr>
            <w:tcW w:w="0" w:type="auto"/>
            <w:noWrap/>
            <w:vAlign w:val="center"/>
            <w:hideMark/>
          </w:tcPr>
          <w:p w14:paraId="6AB936FB"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15</w:t>
            </w:r>
          </w:p>
        </w:tc>
        <w:tc>
          <w:tcPr>
            <w:tcW w:w="0" w:type="auto"/>
            <w:noWrap/>
            <w:vAlign w:val="center"/>
            <w:hideMark/>
          </w:tcPr>
          <w:p w14:paraId="5E7F31B8"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2.7</w:t>
            </w:r>
          </w:p>
        </w:tc>
      </w:tr>
      <w:tr w:rsidR="00410BF2" w:rsidRPr="00E2464D" w14:paraId="7F7A87FB" w14:textId="77777777" w:rsidTr="00C96A31">
        <w:trPr>
          <w:trHeight w:val="300"/>
          <w:jc w:val="center"/>
        </w:trPr>
        <w:tc>
          <w:tcPr>
            <w:tcW w:w="0" w:type="auto"/>
            <w:vMerge/>
            <w:vAlign w:val="center"/>
            <w:hideMark/>
          </w:tcPr>
          <w:p w14:paraId="22F3E8B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233526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05EC18E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w:t>
            </w:r>
          </w:p>
        </w:tc>
        <w:tc>
          <w:tcPr>
            <w:tcW w:w="0" w:type="auto"/>
            <w:noWrap/>
            <w:vAlign w:val="center"/>
            <w:hideMark/>
          </w:tcPr>
          <w:p w14:paraId="4D84ECB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1.6</w:t>
            </w:r>
          </w:p>
        </w:tc>
      </w:tr>
      <w:tr w:rsidR="00410BF2" w:rsidRPr="00E2464D" w14:paraId="24721B4A" w14:textId="77777777" w:rsidTr="00C96A31">
        <w:trPr>
          <w:trHeight w:val="312"/>
          <w:jc w:val="center"/>
        </w:trPr>
        <w:tc>
          <w:tcPr>
            <w:tcW w:w="0" w:type="auto"/>
            <w:noWrap/>
            <w:vAlign w:val="center"/>
            <w:hideMark/>
          </w:tcPr>
          <w:p w14:paraId="1ABF92BC"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426CF529"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69060EF1"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287826B8"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50CA2B2A" w14:textId="77777777" w:rsidTr="00C96A31">
        <w:trPr>
          <w:trHeight w:val="300"/>
          <w:jc w:val="center"/>
        </w:trPr>
        <w:tc>
          <w:tcPr>
            <w:tcW w:w="0" w:type="auto"/>
            <w:vMerge w:val="restart"/>
            <w:noWrap/>
            <w:vAlign w:val="center"/>
            <w:hideMark/>
          </w:tcPr>
          <w:p w14:paraId="488DB36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Recidivism</w:t>
            </w:r>
          </w:p>
        </w:tc>
        <w:tc>
          <w:tcPr>
            <w:tcW w:w="0" w:type="auto"/>
            <w:noWrap/>
            <w:vAlign w:val="center"/>
            <w:hideMark/>
          </w:tcPr>
          <w:p w14:paraId="7F29831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No</w:t>
            </w:r>
          </w:p>
        </w:tc>
        <w:tc>
          <w:tcPr>
            <w:tcW w:w="0" w:type="auto"/>
            <w:noWrap/>
            <w:vAlign w:val="center"/>
            <w:hideMark/>
          </w:tcPr>
          <w:p w14:paraId="7696D40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342</w:t>
            </w:r>
          </w:p>
        </w:tc>
        <w:tc>
          <w:tcPr>
            <w:tcW w:w="0" w:type="auto"/>
            <w:noWrap/>
            <w:vAlign w:val="center"/>
            <w:hideMark/>
          </w:tcPr>
          <w:p w14:paraId="1352210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61.1</w:t>
            </w:r>
          </w:p>
        </w:tc>
      </w:tr>
      <w:tr w:rsidR="00410BF2" w:rsidRPr="00E2464D" w14:paraId="36D03925" w14:textId="77777777" w:rsidTr="00C96A31">
        <w:trPr>
          <w:trHeight w:val="288"/>
          <w:jc w:val="center"/>
        </w:trPr>
        <w:tc>
          <w:tcPr>
            <w:tcW w:w="0" w:type="auto"/>
            <w:vMerge/>
            <w:vAlign w:val="center"/>
            <w:hideMark/>
          </w:tcPr>
          <w:p w14:paraId="76E6BC6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CD5B2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Yes, other offenses</w:t>
            </w:r>
          </w:p>
        </w:tc>
        <w:tc>
          <w:tcPr>
            <w:tcW w:w="0" w:type="auto"/>
            <w:noWrap/>
            <w:vAlign w:val="center"/>
            <w:hideMark/>
          </w:tcPr>
          <w:p w14:paraId="7D1D5E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147</w:t>
            </w:r>
          </w:p>
        </w:tc>
        <w:tc>
          <w:tcPr>
            <w:tcW w:w="0" w:type="auto"/>
            <w:noWrap/>
            <w:vAlign w:val="center"/>
            <w:hideMark/>
          </w:tcPr>
          <w:p w14:paraId="6ACC331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26.3</w:t>
            </w:r>
          </w:p>
        </w:tc>
      </w:tr>
      <w:tr w:rsidR="00410BF2" w:rsidRPr="00E2464D" w14:paraId="23AB65AD" w14:textId="77777777" w:rsidTr="00C96A31">
        <w:trPr>
          <w:trHeight w:val="288"/>
          <w:jc w:val="center"/>
        </w:trPr>
        <w:tc>
          <w:tcPr>
            <w:tcW w:w="0" w:type="auto"/>
            <w:vMerge/>
            <w:tcBorders>
              <w:bottom w:val="single" w:sz="8" w:space="0" w:color="auto"/>
            </w:tcBorders>
            <w:vAlign w:val="center"/>
            <w:hideMark/>
          </w:tcPr>
          <w:p w14:paraId="6D2D00C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tcBorders>
              <w:bottom w:val="single" w:sz="8" w:space="0" w:color="auto"/>
            </w:tcBorders>
            <w:noWrap/>
            <w:vAlign w:val="center"/>
            <w:hideMark/>
          </w:tcPr>
          <w:p w14:paraId="7284B9C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Yes, rape</w:t>
            </w:r>
          </w:p>
        </w:tc>
        <w:tc>
          <w:tcPr>
            <w:tcW w:w="0" w:type="auto"/>
            <w:tcBorders>
              <w:bottom w:val="single" w:sz="8" w:space="0" w:color="auto"/>
            </w:tcBorders>
            <w:noWrap/>
            <w:vAlign w:val="center"/>
            <w:hideMark/>
          </w:tcPr>
          <w:p w14:paraId="68D8B4B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71</w:t>
            </w:r>
          </w:p>
        </w:tc>
        <w:tc>
          <w:tcPr>
            <w:tcW w:w="0" w:type="auto"/>
            <w:tcBorders>
              <w:bottom w:val="single" w:sz="8" w:space="0" w:color="auto"/>
            </w:tcBorders>
            <w:noWrap/>
            <w:vAlign w:val="center"/>
            <w:hideMark/>
          </w:tcPr>
          <w:p w14:paraId="5C9A39E1"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12.7</w:t>
            </w:r>
          </w:p>
        </w:tc>
      </w:tr>
      <w:bookmarkEnd w:id="0"/>
    </w:tbl>
    <w:p w14:paraId="71BFC67E" w14:textId="05EB3FED" w:rsidR="00A00DA2" w:rsidRPr="00E2464D" w:rsidRDefault="00A00DA2" w:rsidP="009217EE">
      <w:pPr>
        <w:spacing w:after="0" w:line="360" w:lineRule="auto"/>
        <w:jc w:val="both"/>
        <w:rPr>
          <w:rFonts w:ascii="Times New Roman" w:hAnsi="Times New Roman" w:cs="Times New Roman"/>
          <w:bCs/>
          <w:iCs/>
          <w:sz w:val="10"/>
          <w:szCs w:val="10"/>
        </w:rPr>
      </w:pPr>
    </w:p>
    <w:p w14:paraId="699A7335" w14:textId="77777777" w:rsidR="00A00DA2" w:rsidRPr="00E2464D" w:rsidRDefault="00A00DA2" w:rsidP="009217EE">
      <w:pPr>
        <w:spacing w:after="0" w:line="360" w:lineRule="auto"/>
        <w:jc w:val="both"/>
        <w:rPr>
          <w:rFonts w:ascii="Times New Roman" w:hAnsi="Times New Roman" w:cs="Times New Roman"/>
          <w:bCs/>
          <w:iCs/>
          <w:sz w:val="10"/>
          <w:szCs w:val="10"/>
        </w:rPr>
      </w:pPr>
    </w:p>
    <w:p w14:paraId="44D665EE" w14:textId="77777777" w:rsidR="0039734C" w:rsidRPr="00E2464D" w:rsidRDefault="0039734C" w:rsidP="009217EE">
      <w:pPr>
        <w:spacing w:after="0" w:line="360" w:lineRule="auto"/>
        <w:jc w:val="center"/>
        <w:rPr>
          <w:rFonts w:ascii="Times New Roman" w:hAnsi="Times New Roman" w:cs="Times New Roman"/>
          <w:bCs/>
          <w:i/>
          <w:iCs/>
          <w:sz w:val="10"/>
          <w:szCs w:val="10"/>
        </w:rPr>
      </w:pPr>
    </w:p>
    <w:p w14:paraId="3C0C5E4C" w14:textId="424DFC57" w:rsidR="00F5334D" w:rsidRPr="00E2464D" w:rsidRDefault="00F5334D" w:rsidP="00545D75">
      <w:pPr>
        <w:spacing w:after="0" w:line="360" w:lineRule="auto"/>
        <w:jc w:val="center"/>
        <w:rPr>
          <w:rFonts w:ascii="Times New Roman" w:hAnsi="Times New Roman" w:cs="Times New Roman"/>
          <w:bCs/>
          <w:i/>
          <w:iCs/>
          <w:sz w:val="24"/>
          <w:szCs w:val="24"/>
        </w:rPr>
      </w:pPr>
      <w:r w:rsidRPr="00E2464D">
        <w:rPr>
          <w:rFonts w:ascii="Times New Roman" w:hAnsi="Times New Roman" w:cs="Times New Roman"/>
          <w:bCs/>
          <w:i/>
          <w:iCs/>
          <w:sz w:val="24"/>
          <w:szCs w:val="24"/>
        </w:rPr>
        <w:t>Data analysis plan</w:t>
      </w:r>
    </w:p>
    <w:p w14:paraId="418A6D57" w14:textId="67693E53" w:rsidR="00EF6DA5" w:rsidRPr="00E2464D" w:rsidRDefault="00EF6DA5" w:rsidP="003D4FF5">
      <w:pPr>
        <w:spacing w:after="0" w:line="360" w:lineRule="auto"/>
        <w:jc w:val="both"/>
        <w:rPr>
          <w:rFonts w:ascii="Times New Roman" w:hAnsi="Times New Roman" w:cs="Times New Roman"/>
          <w:bCs/>
          <w:i/>
          <w:iCs/>
          <w:sz w:val="10"/>
          <w:szCs w:val="10"/>
        </w:rPr>
      </w:pPr>
    </w:p>
    <w:p w14:paraId="4B88E0C6" w14:textId="77777777" w:rsidR="008504B1" w:rsidRPr="00E2464D" w:rsidRDefault="008504B1" w:rsidP="003D4FF5">
      <w:pPr>
        <w:spacing w:after="0" w:line="360" w:lineRule="auto"/>
        <w:jc w:val="both"/>
        <w:rPr>
          <w:rFonts w:ascii="Times New Roman" w:hAnsi="Times New Roman" w:cs="Times New Roman"/>
          <w:bCs/>
          <w:i/>
          <w:iCs/>
          <w:sz w:val="10"/>
          <w:szCs w:val="10"/>
        </w:rPr>
      </w:pPr>
    </w:p>
    <w:p w14:paraId="17D2966F" w14:textId="7D317F2A" w:rsidR="00B132F0" w:rsidRPr="00E2464D" w:rsidRDefault="00B132F0" w:rsidP="00E2464D">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Given the presence of missing data in certain variables obtained from the official records of the Directorate for the Execution of Criminal Sanctions, the number and percentage of missing values were reported in the Results section, either for the total sample or for specific subgroups, depending on the analysis. Due to the nature of the data, no imputation procedures were applied; all analyses were conducted exclusively on available official records.</w:t>
      </w:r>
    </w:p>
    <w:p w14:paraId="3FBF7D91" w14:textId="4FCA04F7" w:rsidR="00EC6A53" w:rsidRDefault="00B132F0" w:rsidP="00926908">
      <w:pPr>
        <w:spacing w:after="0" w:line="360" w:lineRule="auto"/>
        <w:ind w:firstLine="567"/>
        <w:jc w:val="both"/>
        <w:rPr>
          <w:rFonts w:ascii="Times New Roman" w:hAnsi="Times New Roman" w:cs="Times New Roman"/>
          <w:bCs/>
          <w:sz w:val="10"/>
          <w:szCs w:val="10"/>
        </w:rPr>
      </w:pPr>
      <w:r w:rsidRPr="00E2464D">
        <w:rPr>
          <w:rFonts w:ascii="Times New Roman" w:hAnsi="Times New Roman" w:cs="Times New Roman"/>
          <w:bCs/>
          <w:sz w:val="24"/>
          <w:szCs w:val="24"/>
        </w:rPr>
        <w:t>Data analysis included frequency analysis to describe sample characteristics, Pearson’s χ² test to examine associations between categorical variables, and one-way analysis of variance (ANOVA) with post hoc tests to assess group differences on continuous variables. All statistical analyses were performed using SPSS for Windows (IBM Corp., 2015).</w:t>
      </w:r>
    </w:p>
    <w:p w14:paraId="33A80A83" w14:textId="41757C60" w:rsidR="00EC6A53" w:rsidRDefault="00EC6A53" w:rsidP="002F5779">
      <w:pPr>
        <w:spacing w:after="0" w:line="360" w:lineRule="auto"/>
        <w:jc w:val="both"/>
        <w:rPr>
          <w:rFonts w:ascii="Times New Roman" w:hAnsi="Times New Roman" w:cs="Times New Roman"/>
          <w:bCs/>
          <w:sz w:val="10"/>
          <w:szCs w:val="10"/>
        </w:rPr>
      </w:pPr>
    </w:p>
    <w:p w14:paraId="6FF4ECA1" w14:textId="0F41588F" w:rsidR="00EC6A53" w:rsidRPr="00E2464D" w:rsidRDefault="00EC6A53" w:rsidP="002F5779">
      <w:pPr>
        <w:spacing w:after="0" w:line="360" w:lineRule="auto"/>
        <w:jc w:val="both"/>
        <w:rPr>
          <w:rFonts w:ascii="Times New Roman" w:hAnsi="Times New Roman" w:cs="Times New Roman"/>
          <w:bCs/>
          <w:sz w:val="10"/>
          <w:szCs w:val="10"/>
        </w:rPr>
      </w:pPr>
    </w:p>
    <w:p w14:paraId="2B24B12A" w14:textId="14D0F19B" w:rsidR="00F5334D" w:rsidRPr="00E2464D" w:rsidRDefault="0039734C" w:rsidP="00545D75">
      <w:pPr>
        <w:spacing w:after="0" w:line="360" w:lineRule="auto"/>
        <w:jc w:val="center"/>
        <w:rPr>
          <w:rFonts w:ascii="Times New Roman" w:hAnsi="Times New Roman" w:cs="Times New Roman"/>
          <w:bCs/>
          <w:i/>
          <w:sz w:val="24"/>
          <w:szCs w:val="24"/>
        </w:rPr>
      </w:pPr>
      <w:r w:rsidRPr="00E2464D">
        <w:rPr>
          <w:rFonts w:ascii="Times New Roman" w:hAnsi="Times New Roman" w:cs="Times New Roman"/>
          <w:bCs/>
          <w:i/>
          <w:sz w:val="24"/>
          <w:szCs w:val="24"/>
        </w:rPr>
        <w:t>RESULTS</w:t>
      </w:r>
    </w:p>
    <w:p w14:paraId="39AD6403" w14:textId="77777777" w:rsidR="00F5334D" w:rsidRPr="00E2464D" w:rsidRDefault="00F5334D" w:rsidP="00545D75">
      <w:pPr>
        <w:spacing w:after="0" w:line="360" w:lineRule="auto"/>
        <w:jc w:val="center"/>
        <w:rPr>
          <w:rFonts w:ascii="Times New Roman" w:hAnsi="Times New Roman" w:cs="Times New Roman"/>
          <w:bCs/>
          <w:sz w:val="10"/>
          <w:szCs w:val="10"/>
        </w:rPr>
      </w:pPr>
    </w:p>
    <w:p w14:paraId="4BE29311" w14:textId="3A22207C" w:rsidR="00F5334D" w:rsidRPr="00E2464D" w:rsidRDefault="00F5334D" w:rsidP="00545D75">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t>Sociodemographic profiles of different groups and differences between groups</w:t>
      </w:r>
    </w:p>
    <w:p w14:paraId="4E30D40F" w14:textId="77777777" w:rsidR="00F5334D" w:rsidRPr="00E2464D" w:rsidRDefault="00F5334D" w:rsidP="003D4FF5">
      <w:pPr>
        <w:spacing w:after="0" w:line="360" w:lineRule="auto"/>
        <w:jc w:val="both"/>
        <w:rPr>
          <w:rFonts w:ascii="Times New Roman" w:hAnsi="Times New Roman" w:cs="Times New Roman"/>
          <w:i/>
          <w:iCs/>
          <w:sz w:val="10"/>
          <w:szCs w:val="10"/>
        </w:rPr>
      </w:pPr>
    </w:p>
    <w:p w14:paraId="424417F8" w14:textId="75B85EE4" w:rsidR="00F5334D" w:rsidRPr="00E2464D" w:rsidRDefault="00F5334D" w:rsidP="0039734C">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The sociodemographic profile of individuals convicted of rape is presented in Table 2, categorized into</w:t>
      </w:r>
      <w:r w:rsidR="007E6AFA">
        <w:rPr>
          <w:rFonts w:ascii="Times New Roman" w:hAnsi="Times New Roman" w:cs="Times New Roman"/>
          <w:sz w:val="24"/>
          <w:szCs w:val="24"/>
        </w:rPr>
        <w:t xml:space="preserve"> three groups: non-recidivists</w:t>
      </w:r>
      <w:r w:rsidRPr="00E2464D">
        <w:rPr>
          <w:rFonts w:ascii="Times New Roman" w:hAnsi="Times New Roman" w:cs="Times New Roman"/>
          <w:sz w:val="24"/>
          <w:szCs w:val="24"/>
        </w:rPr>
        <w:t>, recidivis</w:t>
      </w:r>
      <w:r w:rsidR="007E6AFA">
        <w:rPr>
          <w:rFonts w:ascii="Times New Roman" w:hAnsi="Times New Roman" w:cs="Times New Roman"/>
          <w:sz w:val="24"/>
          <w:szCs w:val="24"/>
        </w:rPr>
        <w:t>ts for other criminal offenses, and recidivists for rape</w:t>
      </w:r>
      <w:r w:rsidRPr="00E2464D">
        <w:rPr>
          <w:rFonts w:ascii="Times New Roman" w:hAnsi="Times New Roman" w:cs="Times New Roman"/>
          <w:sz w:val="24"/>
          <w:szCs w:val="24"/>
        </w:rPr>
        <w:t>.</w:t>
      </w:r>
    </w:p>
    <w:p w14:paraId="6FFEF730" w14:textId="73C46032" w:rsidR="008504B1" w:rsidRPr="007E6AFA" w:rsidRDefault="007E6AFA" w:rsidP="007E6AFA">
      <w:pPr>
        <w:spacing w:after="0" w:line="360" w:lineRule="auto"/>
        <w:ind w:firstLine="567"/>
        <w:jc w:val="both"/>
        <w:rPr>
          <w:rFonts w:ascii="Times New Roman" w:hAnsi="Times New Roman" w:cs="Times New Roman"/>
          <w:sz w:val="24"/>
          <w:szCs w:val="24"/>
        </w:rPr>
      </w:pPr>
      <w:r w:rsidRPr="003F06C8">
        <w:rPr>
          <w:rFonts w:ascii="Times New Roman" w:hAnsi="Times New Roman" w:cs="Times New Roman"/>
          <w:sz w:val="24"/>
          <w:szCs w:val="24"/>
        </w:rPr>
        <w:t>The group of recidivists convicted of the criminal offence of rape exhibited the highest values in terms of age and the length of the currently served prison sentence (an institutional indicator) at the time of data collection. With regard</w:t>
      </w:r>
      <w:r w:rsidRPr="000863FC">
        <w:rPr>
          <w:rFonts w:ascii="Times New Roman" w:hAnsi="Times New Roman" w:cs="Times New Roman"/>
          <w:sz w:val="24"/>
          <w:szCs w:val="24"/>
        </w:rPr>
        <w:t xml:space="preserve"> to education, employment, and marital status, pronounced similarities were observed across the analysed groups. The majority of respondents had completed primary education, while a smaller proportion had attained secondary education. In terms of employment, unemployed offenders predominated across all three groups. With respect to marital status, most individuals in each group did not have a partner, whereas a smaller proportion were married.</w:t>
      </w:r>
    </w:p>
    <w:p w14:paraId="4FAB64BC" w14:textId="77777777" w:rsidR="007E6AFA" w:rsidRPr="00E2464D" w:rsidRDefault="007E6AFA" w:rsidP="003D4FF5">
      <w:pPr>
        <w:spacing w:after="0" w:line="360" w:lineRule="auto"/>
        <w:jc w:val="both"/>
        <w:rPr>
          <w:rFonts w:ascii="Times New Roman" w:hAnsi="Times New Roman" w:cs="Times New Roman"/>
          <w:sz w:val="10"/>
          <w:szCs w:val="10"/>
        </w:rPr>
      </w:pPr>
    </w:p>
    <w:p w14:paraId="08F6B982" w14:textId="68A4DF7F" w:rsidR="003158CF" w:rsidRPr="00E2464D" w:rsidRDefault="00B43021"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2</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Sociodemographic profile of non-recidivists </w:t>
      </w:r>
    </w:p>
    <w:p w14:paraId="7C3774EF" w14:textId="4B0E02F1" w:rsidR="00F5334D" w:rsidRPr="00E2464D" w:rsidRDefault="00F5334D"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 xml:space="preserve">and recidivists for </w:t>
      </w:r>
      <w:r w:rsidR="0039734C" w:rsidRPr="00E2464D">
        <w:rPr>
          <w:rFonts w:ascii="Times New Roman" w:hAnsi="Times New Roman" w:cs="Times New Roman"/>
          <w:sz w:val="24"/>
          <w:szCs w:val="24"/>
        </w:rPr>
        <w:t>offenses against sexual freedom</w:t>
      </w:r>
    </w:p>
    <w:p w14:paraId="768DE451" w14:textId="77777777" w:rsidR="00F5334D" w:rsidRPr="00E2464D" w:rsidRDefault="00F5334D" w:rsidP="003D4FF5">
      <w:pPr>
        <w:spacing w:after="0" w:line="36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693"/>
        <w:gridCol w:w="904"/>
        <w:gridCol w:w="1008"/>
        <w:gridCol w:w="905"/>
        <w:gridCol w:w="1009"/>
        <w:gridCol w:w="905"/>
        <w:gridCol w:w="1009"/>
      </w:tblGrid>
      <w:tr w:rsidR="00F5334D" w:rsidRPr="00E2464D" w14:paraId="58BA5ACB" w14:textId="77777777" w:rsidTr="00251938">
        <w:tc>
          <w:tcPr>
            <w:tcW w:w="1423" w:type="dxa"/>
            <w:vMerge w:val="restart"/>
            <w:tcBorders>
              <w:top w:val="single" w:sz="8" w:space="0" w:color="auto"/>
            </w:tcBorders>
            <w:vAlign w:val="center"/>
          </w:tcPr>
          <w:p w14:paraId="3C7CDC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Variable</w:t>
            </w:r>
          </w:p>
        </w:tc>
        <w:tc>
          <w:tcPr>
            <w:tcW w:w="1693" w:type="dxa"/>
            <w:vMerge w:val="restart"/>
            <w:tcBorders>
              <w:top w:val="single" w:sz="8" w:space="0" w:color="auto"/>
            </w:tcBorders>
            <w:vAlign w:val="center"/>
          </w:tcPr>
          <w:p w14:paraId="1D12DCD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Value/</w:t>
            </w:r>
          </w:p>
          <w:p w14:paraId="77AE7F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Category</w:t>
            </w:r>
          </w:p>
        </w:tc>
        <w:tc>
          <w:tcPr>
            <w:tcW w:w="1912" w:type="dxa"/>
            <w:gridSpan w:val="2"/>
            <w:tcBorders>
              <w:top w:val="single" w:sz="8" w:space="0" w:color="auto"/>
              <w:bottom w:val="single" w:sz="8" w:space="0" w:color="auto"/>
            </w:tcBorders>
            <w:vAlign w:val="center"/>
          </w:tcPr>
          <w:p w14:paraId="057CADFA" w14:textId="3084C438" w:rsidR="00F5334D" w:rsidRPr="00D25D21" w:rsidRDefault="00D25D21" w:rsidP="003D4FF5">
            <w:pPr>
              <w:spacing w:line="360" w:lineRule="auto"/>
              <w:jc w:val="both"/>
              <w:rPr>
                <w:rFonts w:ascii="Times New Roman" w:hAnsi="Times New Roman" w:cs="Times New Roman"/>
                <w:sz w:val="18"/>
                <w:szCs w:val="18"/>
              </w:rPr>
            </w:pPr>
            <w:r>
              <w:rPr>
                <w:rFonts w:ascii="Times New Roman" w:hAnsi="Times New Roman" w:cs="Times New Roman"/>
                <w:sz w:val="18"/>
                <w:szCs w:val="18"/>
              </w:rPr>
              <w:t>N</w:t>
            </w:r>
            <w:r w:rsidRPr="00D25D21">
              <w:rPr>
                <w:rFonts w:ascii="Times New Roman" w:hAnsi="Times New Roman" w:cs="Times New Roman"/>
                <w:sz w:val="18"/>
                <w:szCs w:val="18"/>
              </w:rPr>
              <w:t>on-recidivists</w:t>
            </w:r>
          </w:p>
          <w:p w14:paraId="7C59F904" w14:textId="3BC8128E" w:rsidR="003A11CA" w:rsidRPr="003A11CA" w:rsidRDefault="003A11CA" w:rsidP="003D4FF5">
            <w:pPr>
              <w:spacing w:line="360" w:lineRule="auto"/>
              <w:jc w:val="both"/>
              <w:rPr>
                <w:rFonts w:ascii="Times New Roman" w:hAnsi="Times New Roman" w:cs="Times New Roman"/>
                <w:sz w:val="18"/>
                <w:szCs w:val="18"/>
              </w:rPr>
            </w:pPr>
          </w:p>
        </w:tc>
        <w:tc>
          <w:tcPr>
            <w:tcW w:w="1914" w:type="dxa"/>
            <w:gridSpan w:val="2"/>
            <w:tcBorders>
              <w:top w:val="single" w:sz="8" w:space="0" w:color="auto"/>
              <w:bottom w:val="single" w:sz="8" w:space="0" w:color="auto"/>
            </w:tcBorders>
            <w:vAlign w:val="center"/>
          </w:tcPr>
          <w:p w14:paraId="22B2F8A1" w14:textId="67B8E913" w:rsidR="00F5334D" w:rsidRPr="00D25D21" w:rsidRDefault="00D25D21" w:rsidP="003D4FF5">
            <w:pPr>
              <w:spacing w:line="360" w:lineRule="auto"/>
              <w:jc w:val="both"/>
              <w:rPr>
                <w:rFonts w:ascii="Times New Roman" w:hAnsi="Times New Roman" w:cs="Times New Roman"/>
                <w:sz w:val="18"/>
                <w:szCs w:val="18"/>
              </w:rPr>
            </w:pPr>
            <w:r w:rsidRPr="00D25D21">
              <w:rPr>
                <w:rFonts w:ascii="Times New Roman" w:hAnsi="Times New Roman" w:cs="Times New Roman"/>
                <w:sz w:val="18"/>
                <w:szCs w:val="18"/>
              </w:rPr>
              <w:t xml:space="preserve">Recidivists for other sexual offences </w:t>
            </w:r>
          </w:p>
        </w:tc>
        <w:tc>
          <w:tcPr>
            <w:tcW w:w="1914" w:type="dxa"/>
            <w:gridSpan w:val="2"/>
            <w:tcBorders>
              <w:top w:val="single" w:sz="8" w:space="0" w:color="auto"/>
              <w:bottom w:val="single" w:sz="8" w:space="0" w:color="auto"/>
            </w:tcBorders>
            <w:vAlign w:val="center"/>
          </w:tcPr>
          <w:p w14:paraId="46F8FACD" w14:textId="571D2F7E" w:rsidR="00F5334D" w:rsidRPr="00D25D21" w:rsidRDefault="00D25D21" w:rsidP="003D4FF5">
            <w:pPr>
              <w:spacing w:line="360" w:lineRule="auto"/>
              <w:jc w:val="both"/>
              <w:rPr>
                <w:rFonts w:ascii="Times New Roman" w:hAnsi="Times New Roman" w:cs="Times New Roman"/>
                <w:sz w:val="18"/>
                <w:szCs w:val="18"/>
              </w:rPr>
            </w:pPr>
            <w:r w:rsidRPr="00D25D21">
              <w:rPr>
                <w:rFonts w:ascii="Times New Roman" w:hAnsi="Times New Roman" w:cs="Times New Roman"/>
                <w:sz w:val="18"/>
                <w:szCs w:val="18"/>
              </w:rPr>
              <w:t>Recidivists for the criminal offence of rape</w:t>
            </w:r>
          </w:p>
        </w:tc>
      </w:tr>
      <w:tr w:rsidR="00F5334D" w:rsidRPr="00E2464D" w14:paraId="7C5B477D" w14:textId="77777777" w:rsidTr="00251938">
        <w:tc>
          <w:tcPr>
            <w:tcW w:w="1423" w:type="dxa"/>
            <w:vMerge/>
            <w:tcBorders>
              <w:bottom w:val="single" w:sz="8" w:space="0" w:color="auto"/>
            </w:tcBorders>
            <w:vAlign w:val="center"/>
          </w:tcPr>
          <w:p w14:paraId="003A132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Merge/>
            <w:tcBorders>
              <w:bottom w:val="single" w:sz="8" w:space="0" w:color="auto"/>
            </w:tcBorders>
            <w:vAlign w:val="center"/>
          </w:tcPr>
          <w:p w14:paraId="4EFDD792"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tcBorders>
              <w:top w:val="single" w:sz="8" w:space="0" w:color="auto"/>
              <w:bottom w:val="single" w:sz="8" w:space="0" w:color="auto"/>
            </w:tcBorders>
            <w:vAlign w:val="center"/>
          </w:tcPr>
          <w:p w14:paraId="7B43E76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8" w:type="dxa"/>
            <w:tcBorders>
              <w:top w:val="single" w:sz="8" w:space="0" w:color="auto"/>
              <w:bottom w:val="single" w:sz="8" w:space="0" w:color="auto"/>
            </w:tcBorders>
            <w:vAlign w:val="center"/>
          </w:tcPr>
          <w:p w14:paraId="77119A8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c>
          <w:tcPr>
            <w:tcW w:w="905" w:type="dxa"/>
            <w:tcBorders>
              <w:top w:val="single" w:sz="8" w:space="0" w:color="auto"/>
              <w:bottom w:val="single" w:sz="8" w:space="0" w:color="auto"/>
            </w:tcBorders>
            <w:vAlign w:val="center"/>
          </w:tcPr>
          <w:p w14:paraId="7962491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9" w:type="dxa"/>
            <w:tcBorders>
              <w:top w:val="single" w:sz="8" w:space="0" w:color="auto"/>
              <w:bottom w:val="single" w:sz="8" w:space="0" w:color="auto"/>
            </w:tcBorders>
            <w:vAlign w:val="center"/>
          </w:tcPr>
          <w:p w14:paraId="4A9BEB8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c>
          <w:tcPr>
            <w:tcW w:w="905" w:type="dxa"/>
            <w:tcBorders>
              <w:top w:val="single" w:sz="8" w:space="0" w:color="auto"/>
              <w:bottom w:val="single" w:sz="8" w:space="0" w:color="auto"/>
            </w:tcBorders>
            <w:vAlign w:val="center"/>
          </w:tcPr>
          <w:p w14:paraId="5AA7559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9" w:type="dxa"/>
            <w:tcBorders>
              <w:top w:val="single" w:sz="8" w:space="0" w:color="auto"/>
              <w:bottom w:val="single" w:sz="8" w:space="0" w:color="auto"/>
            </w:tcBorders>
            <w:vAlign w:val="center"/>
          </w:tcPr>
          <w:p w14:paraId="608C2B0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r>
      <w:tr w:rsidR="00F5334D" w:rsidRPr="00E2464D" w14:paraId="218AA4A8" w14:textId="77777777" w:rsidTr="00251938">
        <w:tc>
          <w:tcPr>
            <w:tcW w:w="1423" w:type="dxa"/>
            <w:vMerge w:val="restart"/>
            <w:tcBorders>
              <w:top w:val="single" w:sz="8" w:space="0" w:color="auto"/>
            </w:tcBorders>
            <w:vAlign w:val="center"/>
          </w:tcPr>
          <w:p w14:paraId="54D27D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Age</w:t>
            </w:r>
          </w:p>
        </w:tc>
        <w:tc>
          <w:tcPr>
            <w:tcW w:w="1693" w:type="dxa"/>
            <w:tcBorders>
              <w:top w:val="single" w:sz="8" w:space="0" w:color="auto"/>
            </w:tcBorders>
            <w:vAlign w:val="center"/>
          </w:tcPr>
          <w:p w14:paraId="2A15F72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Minimum</w:t>
            </w:r>
          </w:p>
        </w:tc>
        <w:tc>
          <w:tcPr>
            <w:tcW w:w="904" w:type="dxa"/>
            <w:tcBorders>
              <w:top w:val="single" w:sz="8" w:space="0" w:color="auto"/>
            </w:tcBorders>
            <w:vAlign w:val="center"/>
          </w:tcPr>
          <w:p w14:paraId="27B69F0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8" w:type="dxa"/>
            <w:tcBorders>
              <w:top w:val="single" w:sz="8" w:space="0" w:color="auto"/>
            </w:tcBorders>
            <w:vAlign w:val="center"/>
          </w:tcPr>
          <w:p w14:paraId="23FFBAE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tcBorders>
              <w:top w:val="single" w:sz="8" w:space="0" w:color="auto"/>
            </w:tcBorders>
            <w:vAlign w:val="center"/>
          </w:tcPr>
          <w:p w14:paraId="24B2880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25</w:t>
            </w:r>
          </w:p>
        </w:tc>
        <w:tc>
          <w:tcPr>
            <w:tcW w:w="1009" w:type="dxa"/>
            <w:tcBorders>
              <w:top w:val="single" w:sz="8" w:space="0" w:color="auto"/>
            </w:tcBorders>
            <w:vAlign w:val="center"/>
          </w:tcPr>
          <w:p w14:paraId="7018AF3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tcBorders>
              <w:top w:val="single" w:sz="8" w:space="0" w:color="auto"/>
            </w:tcBorders>
            <w:vAlign w:val="center"/>
          </w:tcPr>
          <w:p w14:paraId="7E0769F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18</w:t>
            </w:r>
          </w:p>
        </w:tc>
        <w:tc>
          <w:tcPr>
            <w:tcW w:w="1009" w:type="dxa"/>
            <w:tcBorders>
              <w:top w:val="single" w:sz="8" w:space="0" w:color="auto"/>
            </w:tcBorders>
            <w:vAlign w:val="center"/>
          </w:tcPr>
          <w:p w14:paraId="7D78E232"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2AF86E57" w14:textId="77777777" w:rsidTr="00251938">
        <w:tc>
          <w:tcPr>
            <w:tcW w:w="1423" w:type="dxa"/>
            <w:vMerge/>
            <w:vAlign w:val="center"/>
          </w:tcPr>
          <w:p w14:paraId="5EDB8AAF"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7644A9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Maximum</w:t>
            </w:r>
          </w:p>
        </w:tc>
        <w:tc>
          <w:tcPr>
            <w:tcW w:w="904" w:type="dxa"/>
            <w:vAlign w:val="center"/>
          </w:tcPr>
          <w:p w14:paraId="4D8F709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8" w:type="dxa"/>
            <w:vAlign w:val="center"/>
          </w:tcPr>
          <w:p w14:paraId="12DECE29"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0897C00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9" w:type="dxa"/>
            <w:vAlign w:val="center"/>
          </w:tcPr>
          <w:p w14:paraId="40AFA5A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D7336A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9" w:type="dxa"/>
            <w:vAlign w:val="center"/>
          </w:tcPr>
          <w:p w14:paraId="3804CB4F"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0D3D19AF" w14:textId="77777777" w:rsidTr="00251938">
        <w:tc>
          <w:tcPr>
            <w:tcW w:w="1423" w:type="dxa"/>
            <w:vMerge/>
            <w:vAlign w:val="center"/>
          </w:tcPr>
          <w:p w14:paraId="17ADD4E0"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2CC63F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Mean</w:t>
            </w:r>
          </w:p>
        </w:tc>
        <w:tc>
          <w:tcPr>
            <w:tcW w:w="904" w:type="dxa"/>
            <w:vAlign w:val="center"/>
          </w:tcPr>
          <w:p w14:paraId="7624360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44.61</w:t>
            </w:r>
          </w:p>
        </w:tc>
        <w:tc>
          <w:tcPr>
            <w:tcW w:w="1008" w:type="dxa"/>
            <w:vAlign w:val="center"/>
          </w:tcPr>
          <w:p w14:paraId="663A6E75"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6AAC784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47.82</w:t>
            </w:r>
          </w:p>
        </w:tc>
        <w:tc>
          <w:tcPr>
            <w:tcW w:w="1009" w:type="dxa"/>
            <w:vAlign w:val="center"/>
          </w:tcPr>
          <w:p w14:paraId="758E828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73317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44.32</w:t>
            </w:r>
          </w:p>
        </w:tc>
        <w:tc>
          <w:tcPr>
            <w:tcW w:w="1009" w:type="dxa"/>
            <w:vAlign w:val="center"/>
          </w:tcPr>
          <w:p w14:paraId="7E152BC5"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8BB1F5A" w14:textId="77777777" w:rsidTr="00251938">
        <w:tc>
          <w:tcPr>
            <w:tcW w:w="1423" w:type="dxa"/>
            <w:vMerge/>
            <w:vAlign w:val="center"/>
          </w:tcPr>
          <w:p w14:paraId="7C0EFE73"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6644849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Standard deviation</w:t>
            </w:r>
          </w:p>
        </w:tc>
        <w:tc>
          <w:tcPr>
            <w:tcW w:w="904" w:type="dxa"/>
            <w:vAlign w:val="center"/>
          </w:tcPr>
          <w:p w14:paraId="6D9FE7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22.29</w:t>
            </w:r>
          </w:p>
        </w:tc>
        <w:tc>
          <w:tcPr>
            <w:tcW w:w="1008" w:type="dxa"/>
            <w:vAlign w:val="center"/>
          </w:tcPr>
          <w:p w14:paraId="2A8023D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10ECA88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11.89</w:t>
            </w:r>
          </w:p>
        </w:tc>
        <w:tc>
          <w:tcPr>
            <w:tcW w:w="1009" w:type="dxa"/>
            <w:vAlign w:val="center"/>
          </w:tcPr>
          <w:p w14:paraId="620A3BA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DA0469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14.94</w:t>
            </w:r>
          </w:p>
        </w:tc>
        <w:tc>
          <w:tcPr>
            <w:tcW w:w="1009" w:type="dxa"/>
            <w:vAlign w:val="center"/>
          </w:tcPr>
          <w:p w14:paraId="48C21562"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83DEF7E" w14:textId="77777777" w:rsidTr="00251938">
        <w:tc>
          <w:tcPr>
            <w:tcW w:w="1423" w:type="dxa"/>
            <w:vMerge/>
            <w:vAlign w:val="center"/>
          </w:tcPr>
          <w:p w14:paraId="1DAE95DE"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4DB814C7" w14:textId="31C02A09" w:rsidR="00F5334D" w:rsidRPr="00E2464D" w:rsidRDefault="00F25A97" w:rsidP="003D4FF5">
            <w:pPr>
              <w:spacing w:line="360" w:lineRule="auto"/>
              <w:jc w:val="both"/>
              <w:rPr>
                <w:rFonts w:ascii="Times New Roman" w:hAnsi="Times New Roman" w:cs="Times New Roman"/>
                <w:sz w:val="18"/>
                <w:szCs w:val="18"/>
              </w:rPr>
            </w:pPr>
            <w:r>
              <w:rPr>
                <w:rFonts w:ascii="Times New Roman" w:hAnsi="Times New Roman" w:cs="Times New Roman"/>
                <w:sz w:val="18"/>
                <w:szCs w:val="18"/>
              </w:rPr>
              <w:t>Missing data</w:t>
            </w:r>
          </w:p>
        </w:tc>
        <w:tc>
          <w:tcPr>
            <w:tcW w:w="904" w:type="dxa"/>
            <w:vAlign w:val="center"/>
          </w:tcPr>
          <w:p w14:paraId="2A01F9C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8" w:type="dxa"/>
            <w:vAlign w:val="center"/>
          </w:tcPr>
          <w:p w14:paraId="28D8E958"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47C8D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594BE66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FD38F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0223F36B"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43B848A" w14:textId="77777777" w:rsidTr="00251938">
        <w:tc>
          <w:tcPr>
            <w:tcW w:w="1423" w:type="dxa"/>
            <w:vAlign w:val="center"/>
          </w:tcPr>
          <w:p w14:paraId="3B198147"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5C815CBB"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69CF46E6"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4FDFE50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5B615671"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403E094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6F7265D"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72878663"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A0B640D" w14:textId="77777777" w:rsidTr="00251938">
        <w:tc>
          <w:tcPr>
            <w:tcW w:w="1423" w:type="dxa"/>
            <w:vMerge w:val="restart"/>
            <w:vAlign w:val="center"/>
          </w:tcPr>
          <w:p w14:paraId="0A5896A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Years in correctional institution</w:t>
            </w:r>
          </w:p>
        </w:tc>
        <w:tc>
          <w:tcPr>
            <w:tcW w:w="1693" w:type="dxa"/>
            <w:vAlign w:val="center"/>
          </w:tcPr>
          <w:p w14:paraId="039823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Minimum</w:t>
            </w:r>
          </w:p>
        </w:tc>
        <w:tc>
          <w:tcPr>
            <w:tcW w:w="904" w:type="dxa"/>
            <w:vAlign w:val="center"/>
          </w:tcPr>
          <w:p w14:paraId="7E86F97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8" w:type="dxa"/>
            <w:vAlign w:val="center"/>
          </w:tcPr>
          <w:p w14:paraId="1B1CB7A7"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7BE335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16C4A138"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1069AA8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40C0A875"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747E69B5" w14:textId="77777777" w:rsidTr="00251938">
        <w:tc>
          <w:tcPr>
            <w:tcW w:w="1423" w:type="dxa"/>
            <w:vMerge/>
            <w:vAlign w:val="center"/>
          </w:tcPr>
          <w:p w14:paraId="620A0E81"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6DB452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Maximum</w:t>
            </w:r>
          </w:p>
        </w:tc>
        <w:tc>
          <w:tcPr>
            <w:tcW w:w="904" w:type="dxa"/>
            <w:vAlign w:val="center"/>
          </w:tcPr>
          <w:p w14:paraId="14F8BE4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8" w:type="dxa"/>
            <w:vAlign w:val="center"/>
          </w:tcPr>
          <w:p w14:paraId="25A8DD8C"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5A48145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17</w:t>
            </w:r>
          </w:p>
        </w:tc>
        <w:tc>
          <w:tcPr>
            <w:tcW w:w="1009" w:type="dxa"/>
            <w:vAlign w:val="center"/>
          </w:tcPr>
          <w:p w14:paraId="1A40DDDE"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58C511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15</w:t>
            </w:r>
          </w:p>
        </w:tc>
        <w:tc>
          <w:tcPr>
            <w:tcW w:w="1009" w:type="dxa"/>
            <w:vAlign w:val="center"/>
          </w:tcPr>
          <w:p w14:paraId="330F7EC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7739C5E" w14:textId="77777777" w:rsidTr="00251938">
        <w:tc>
          <w:tcPr>
            <w:tcW w:w="1423" w:type="dxa"/>
            <w:vMerge/>
            <w:vAlign w:val="center"/>
          </w:tcPr>
          <w:p w14:paraId="30AA3C6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DDC8B7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Mean</w:t>
            </w:r>
          </w:p>
        </w:tc>
        <w:tc>
          <w:tcPr>
            <w:tcW w:w="904" w:type="dxa"/>
            <w:vAlign w:val="center"/>
          </w:tcPr>
          <w:p w14:paraId="60E04A9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3.91</w:t>
            </w:r>
          </w:p>
        </w:tc>
        <w:tc>
          <w:tcPr>
            <w:tcW w:w="1008" w:type="dxa"/>
            <w:vAlign w:val="center"/>
          </w:tcPr>
          <w:p w14:paraId="1799AF2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DE195D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4.29</w:t>
            </w:r>
          </w:p>
        </w:tc>
        <w:tc>
          <w:tcPr>
            <w:tcW w:w="1009" w:type="dxa"/>
            <w:vAlign w:val="center"/>
          </w:tcPr>
          <w:p w14:paraId="523EC3D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CEC858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4.02</w:t>
            </w:r>
          </w:p>
        </w:tc>
        <w:tc>
          <w:tcPr>
            <w:tcW w:w="1009" w:type="dxa"/>
            <w:vAlign w:val="center"/>
          </w:tcPr>
          <w:p w14:paraId="28CC0F4C"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CBD1F4F" w14:textId="77777777" w:rsidTr="00251938">
        <w:tc>
          <w:tcPr>
            <w:tcW w:w="1423" w:type="dxa"/>
            <w:vMerge/>
            <w:vAlign w:val="center"/>
          </w:tcPr>
          <w:p w14:paraId="6942A01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C05237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Standard deviation</w:t>
            </w:r>
          </w:p>
        </w:tc>
        <w:tc>
          <w:tcPr>
            <w:tcW w:w="904" w:type="dxa"/>
            <w:vAlign w:val="center"/>
          </w:tcPr>
          <w:p w14:paraId="2C2E8F8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3.45</w:t>
            </w:r>
          </w:p>
        </w:tc>
        <w:tc>
          <w:tcPr>
            <w:tcW w:w="1008" w:type="dxa"/>
            <w:vAlign w:val="center"/>
          </w:tcPr>
          <w:p w14:paraId="11442AB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F26B88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3.48</w:t>
            </w:r>
          </w:p>
        </w:tc>
        <w:tc>
          <w:tcPr>
            <w:tcW w:w="1009" w:type="dxa"/>
            <w:vAlign w:val="center"/>
          </w:tcPr>
          <w:p w14:paraId="0B828A16"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9F81C8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3.73</w:t>
            </w:r>
          </w:p>
        </w:tc>
        <w:tc>
          <w:tcPr>
            <w:tcW w:w="1009" w:type="dxa"/>
            <w:vAlign w:val="center"/>
          </w:tcPr>
          <w:p w14:paraId="2E6B12CD"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003A460F" w14:textId="77777777" w:rsidTr="00251938">
        <w:tc>
          <w:tcPr>
            <w:tcW w:w="1423" w:type="dxa"/>
            <w:vMerge/>
            <w:vAlign w:val="center"/>
          </w:tcPr>
          <w:p w14:paraId="5E66F58F"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EE76350" w14:textId="12D06A10" w:rsidR="00F5334D" w:rsidRPr="00E2464D" w:rsidRDefault="00F25A97" w:rsidP="003D4FF5">
            <w:pPr>
              <w:spacing w:line="360" w:lineRule="auto"/>
              <w:jc w:val="both"/>
              <w:rPr>
                <w:rFonts w:ascii="Times New Roman" w:hAnsi="Times New Roman" w:cs="Times New Roman"/>
                <w:sz w:val="18"/>
                <w:szCs w:val="18"/>
              </w:rPr>
            </w:pPr>
            <w:r>
              <w:rPr>
                <w:rFonts w:ascii="Times New Roman" w:hAnsi="Times New Roman" w:cs="Times New Roman"/>
                <w:sz w:val="18"/>
                <w:szCs w:val="18"/>
              </w:rPr>
              <w:t>Missing data</w:t>
            </w:r>
          </w:p>
        </w:tc>
        <w:tc>
          <w:tcPr>
            <w:tcW w:w="904" w:type="dxa"/>
            <w:vAlign w:val="center"/>
          </w:tcPr>
          <w:p w14:paraId="7DD9D14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w:t>
            </w:r>
          </w:p>
        </w:tc>
        <w:tc>
          <w:tcPr>
            <w:tcW w:w="1008" w:type="dxa"/>
            <w:vAlign w:val="center"/>
          </w:tcPr>
          <w:p w14:paraId="283E42C6"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7945F6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121CB21C"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1E99EE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9" w:type="dxa"/>
            <w:vAlign w:val="center"/>
          </w:tcPr>
          <w:p w14:paraId="2A830A98"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02F0BBF" w14:textId="77777777" w:rsidTr="00251938">
        <w:tc>
          <w:tcPr>
            <w:tcW w:w="1423" w:type="dxa"/>
            <w:vAlign w:val="center"/>
          </w:tcPr>
          <w:p w14:paraId="569E62F2"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546D248"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58FDD964"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1D89A4E0"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486ED2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0744F1D3"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AFDDA6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77B0AECE"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E001F7F" w14:textId="77777777" w:rsidTr="00251938">
        <w:tc>
          <w:tcPr>
            <w:tcW w:w="1423" w:type="dxa"/>
            <w:vMerge w:val="restart"/>
            <w:vAlign w:val="center"/>
          </w:tcPr>
          <w:p w14:paraId="37E2826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Education</w:t>
            </w:r>
          </w:p>
        </w:tc>
        <w:tc>
          <w:tcPr>
            <w:tcW w:w="1693" w:type="dxa"/>
            <w:vAlign w:val="center"/>
          </w:tcPr>
          <w:p w14:paraId="07B2092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No primary education / illiterate</w:t>
            </w:r>
          </w:p>
        </w:tc>
        <w:tc>
          <w:tcPr>
            <w:tcW w:w="904" w:type="dxa"/>
            <w:vAlign w:val="center"/>
          </w:tcPr>
          <w:p w14:paraId="5416058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38</w:t>
            </w:r>
          </w:p>
        </w:tc>
        <w:tc>
          <w:tcPr>
            <w:tcW w:w="1008" w:type="dxa"/>
            <w:vAlign w:val="center"/>
          </w:tcPr>
          <w:p w14:paraId="6BDF804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11.11%</w:t>
            </w:r>
          </w:p>
        </w:tc>
        <w:tc>
          <w:tcPr>
            <w:tcW w:w="905" w:type="dxa"/>
            <w:vAlign w:val="center"/>
          </w:tcPr>
          <w:p w14:paraId="784A363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w:t>
            </w:r>
          </w:p>
        </w:tc>
        <w:tc>
          <w:tcPr>
            <w:tcW w:w="1009" w:type="dxa"/>
            <w:vAlign w:val="center"/>
          </w:tcPr>
          <w:p w14:paraId="520F660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8.84%</w:t>
            </w:r>
          </w:p>
        </w:tc>
        <w:tc>
          <w:tcPr>
            <w:tcW w:w="905" w:type="dxa"/>
            <w:vAlign w:val="center"/>
          </w:tcPr>
          <w:p w14:paraId="33CADAD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w:t>
            </w:r>
          </w:p>
        </w:tc>
        <w:tc>
          <w:tcPr>
            <w:tcW w:w="1009" w:type="dxa"/>
            <w:vAlign w:val="center"/>
          </w:tcPr>
          <w:p w14:paraId="083B177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8.45%</w:t>
            </w:r>
          </w:p>
        </w:tc>
      </w:tr>
      <w:tr w:rsidR="00F5334D" w:rsidRPr="00E2464D" w14:paraId="27F81F2D" w14:textId="77777777" w:rsidTr="00251938">
        <w:tc>
          <w:tcPr>
            <w:tcW w:w="1423" w:type="dxa"/>
            <w:vMerge/>
            <w:vAlign w:val="center"/>
          </w:tcPr>
          <w:p w14:paraId="45C54139"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B640BB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Incomplete primary school</w:t>
            </w:r>
          </w:p>
        </w:tc>
        <w:tc>
          <w:tcPr>
            <w:tcW w:w="904" w:type="dxa"/>
            <w:vAlign w:val="center"/>
          </w:tcPr>
          <w:p w14:paraId="082317F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36</w:t>
            </w:r>
          </w:p>
        </w:tc>
        <w:tc>
          <w:tcPr>
            <w:tcW w:w="1008" w:type="dxa"/>
            <w:vAlign w:val="center"/>
          </w:tcPr>
          <w:p w14:paraId="455A60E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10.53%</w:t>
            </w:r>
          </w:p>
        </w:tc>
        <w:tc>
          <w:tcPr>
            <w:tcW w:w="905" w:type="dxa"/>
            <w:vAlign w:val="center"/>
          </w:tcPr>
          <w:p w14:paraId="37453EE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w:t>
            </w:r>
          </w:p>
        </w:tc>
        <w:tc>
          <w:tcPr>
            <w:tcW w:w="1009" w:type="dxa"/>
            <w:vAlign w:val="center"/>
          </w:tcPr>
          <w:p w14:paraId="768B502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8.84%</w:t>
            </w:r>
          </w:p>
        </w:tc>
        <w:tc>
          <w:tcPr>
            <w:tcW w:w="905" w:type="dxa"/>
            <w:vAlign w:val="center"/>
          </w:tcPr>
          <w:p w14:paraId="598FBEE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9" w:type="dxa"/>
            <w:vAlign w:val="center"/>
          </w:tcPr>
          <w:p w14:paraId="7A9B041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9.86%</w:t>
            </w:r>
          </w:p>
        </w:tc>
      </w:tr>
      <w:tr w:rsidR="00F5334D" w:rsidRPr="00E2464D" w14:paraId="111FAF57" w14:textId="77777777" w:rsidTr="00251938">
        <w:tc>
          <w:tcPr>
            <w:tcW w:w="1423" w:type="dxa"/>
            <w:vMerge/>
            <w:vAlign w:val="center"/>
          </w:tcPr>
          <w:p w14:paraId="74D0C5E7"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84536D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Primary school</w:t>
            </w:r>
          </w:p>
        </w:tc>
        <w:tc>
          <w:tcPr>
            <w:tcW w:w="904" w:type="dxa"/>
            <w:vAlign w:val="center"/>
          </w:tcPr>
          <w:p w14:paraId="62559CC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126</w:t>
            </w:r>
          </w:p>
        </w:tc>
        <w:tc>
          <w:tcPr>
            <w:tcW w:w="1008" w:type="dxa"/>
            <w:vAlign w:val="center"/>
          </w:tcPr>
          <w:p w14:paraId="096BC9B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36.84%</w:t>
            </w:r>
          </w:p>
        </w:tc>
        <w:tc>
          <w:tcPr>
            <w:tcW w:w="905" w:type="dxa"/>
            <w:vAlign w:val="center"/>
          </w:tcPr>
          <w:p w14:paraId="072577E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63</w:t>
            </w:r>
          </w:p>
        </w:tc>
        <w:tc>
          <w:tcPr>
            <w:tcW w:w="1009" w:type="dxa"/>
            <w:vAlign w:val="center"/>
          </w:tcPr>
          <w:p w14:paraId="4374876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42.86%</w:t>
            </w:r>
          </w:p>
        </w:tc>
        <w:tc>
          <w:tcPr>
            <w:tcW w:w="905" w:type="dxa"/>
            <w:vAlign w:val="center"/>
          </w:tcPr>
          <w:p w14:paraId="687BF2C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761EA7F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39.44%</w:t>
            </w:r>
          </w:p>
        </w:tc>
      </w:tr>
      <w:tr w:rsidR="00F5334D" w:rsidRPr="00E2464D" w14:paraId="1CF0D008" w14:textId="77777777" w:rsidTr="00251938">
        <w:tc>
          <w:tcPr>
            <w:tcW w:w="1423" w:type="dxa"/>
            <w:vMerge/>
            <w:vAlign w:val="center"/>
          </w:tcPr>
          <w:p w14:paraId="07965E06"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EA1AF3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Secondary school</w:t>
            </w:r>
          </w:p>
        </w:tc>
        <w:tc>
          <w:tcPr>
            <w:tcW w:w="904" w:type="dxa"/>
            <w:vAlign w:val="center"/>
          </w:tcPr>
          <w:p w14:paraId="0BCCDE0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79</w:t>
            </w:r>
          </w:p>
        </w:tc>
        <w:tc>
          <w:tcPr>
            <w:tcW w:w="1008" w:type="dxa"/>
            <w:vAlign w:val="center"/>
          </w:tcPr>
          <w:p w14:paraId="4D6E79B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23.10%</w:t>
            </w:r>
          </w:p>
        </w:tc>
        <w:tc>
          <w:tcPr>
            <w:tcW w:w="905" w:type="dxa"/>
            <w:vAlign w:val="center"/>
          </w:tcPr>
          <w:p w14:paraId="22409D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23E6210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19.05%</w:t>
            </w:r>
          </w:p>
        </w:tc>
        <w:tc>
          <w:tcPr>
            <w:tcW w:w="905" w:type="dxa"/>
            <w:vAlign w:val="center"/>
          </w:tcPr>
          <w:p w14:paraId="4E8E870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15</w:t>
            </w:r>
          </w:p>
        </w:tc>
        <w:tc>
          <w:tcPr>
            <w:tcW w:w="1009" w:type="dxa"/>
            <w:vAlign w:val="center"/>
          </w:tcPr>
          <w:p w14:paraId="4CDEDDD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21.13%</w:t>
            </w:r>
          </w:p>
        </w:tc>
      </w:tr>
      <w:tr w:rsidR="00F5334D" w:rsidRPr="00E2464D" w14:paraId="6C0A936D" w14:textId="77777777" w:rsidTr="00251938">
        <w:tc>
          <w:tcPr>
            <w:tcW w:w="1423" w:type="dxa"/>
            <w:vMerge/>
            <w:vAlign w:val="center"/>
          </w:tcPr>
          <w:p w14:paraId="5D69775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214BD9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Higher education</w:t>
            </w:r>
          </w:p>
        </w:tc>
        <w:tc>
          <w:tcPr>
            <w:tcW w:w="904" w:type="dxa"/>
            <w:vAlign w:val="center"/>
          </w:tcPr>
          <w:p w14:paraId="60BA3A6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8" w:type="dxa"/>
            <w:vAlign w:val="center"/>
          </w:tcPr>
          <w:p w14:paraId="635F2E2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2.05%</w:t>
            </w:r>
          </w:p>
        </w:tc>
        <w:tc>
          <w:tcPr>
            <w:tcW w:w="905" w:type="dxa"/>
            <w:vAlign w:val="center"/>
          </w:tcPr>
          <w:p w14:paraId="557A528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w:t>
            </w:r>
          </w:p>
        </w:tc>
        <w:tc>
          <w:tcPr>
            <w:tcW w:w="1009" w:type="dxa"/>
            <w:vAlign w:val="center"/>
          </w:tcPr>
          <w:p w14:paraId="50BBEB8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1.36%</w:t>
            </w:r>
          </w:p>
        </w:tc>
        <w:tc>
          <w:tcPr>
            <w:tcW w:w="905" w:type="dxa"/>
            <w:vAlign w:val="center"/>
          </w:tcPr>
          <w:p w14:paraId="5446F9D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w:t>
            </w:r>
          </w:p>
        </w:tc>
        <w:tc>
          <w:tcPr>
            <w:tcW w:w="1009" w:type="dxa"/>
            <w:vAlign w:val="center"/>
          </w:tcPr>
          <w:p w14:paraId="41EAE97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4.23%</w:t>
            </w:r>
          </w:p>
        </w:tc>
      </w:tr>
      <w:tr w:rsidR="00F5334D" w:rsidRPr="00E2464D" w14:paraId="7ED94476" w14:textId="77777777" w:rsidTr="00251938">
        <w:tc>
          <w:tcPr>
            <w:tcW w:w="1423" w:type="dxa"/>
            <w:vMerge/>
            <w:vAlign w:val="center"/>
          </w:tcPr>
          <w:p w14:paraId="6CC6B4B5"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E0F6430" w14:textId="6649938D" w:rsidR="00F5334D" w:rsidRPr="00E2464D" w:rsidRDefault="00F25A97" w:rsidP="003D4FF5">
            <w:pPr>
              <w:spacing w:line="360" w:lineRule="auto"/>
              <w:jc w:val="both"/>
              <w:rPr>
                <w:rFonts w:ascii="Times New Roman" w:hAnsi="Times New Roman" w:cs="Times New Roman"/>
                <w:sz w:val="18"/>
                <w:szCs w:val="18"/>
              </w:rPr>
            </w:pPr>
            <w:r>
              <w:rPr>
                <w:rFonts w:ascii="Times New Roman" w:hAnsi="Times New Roman" w:cs="Times New Roman"/>
                <w:sz w:val="18"/>
                <w:szCs w:val="18"/>
              </w:rPr>
              <w:t>Missing data</w:t>
            </w:r>
          </w:p>
        </w:tc>
        <w:tc>
          <w:tcPr>
            <w:tcW w:w="904" w:type="dxa"/>
            <w:vAlign w:val="center"/>
          </w:tcPr>
          <w:p w14:paraId="4F83569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56</w:t>
            </w:r>
          </w:p>
        </w:tc>
        <w:tc>
          <w:tcPr>
            <w:tcW w:w="1008" w:type="dxa"/>
            <w:vAlign w:val="center"/>
          </w:tcPr>
          <w:p w14:paraId="7C9D87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16.37%</w:t>
            </w:r>
          </w:p>
        </w:tc>
        <w:tc>
          <w:tcPr>
            <w:tcW w:w="905" w:type="dxa"/>
            <w:vAlign w:val="center"/>
          </w:tcPr>
          <w:p w14:paraId="4262CB4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631E388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19.05%</w:t>
            </w:r>
          </w:p>
        </w:tc>
        <w:tc>
          <w:tcPr>
            <w:tcW w:w="905" w:type="dxa"/>
            <w:vAlign w:val="center"/>
          </w:tcPr>
          <w:p w14:paraId="196BF1B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w:t>
            </w:r>
          </w:p>
        </w:tc>
        <w:tc>
          <w:tcPr>
            <w:tcW w:w="1009" w:type="dxa"/>
            <w:vAlign w:val="center"/>
          </w:tcPr>
          <w:p w14:paraId="5D2566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16.90%</w:t>
            </w:r>
          </w:p>
        </w:tc>
      </w:tr>
      <w:tr w:rsidR="00F5334D" w:rsidRPr="00E2464D" w14:paraId="236462D0" w14:textId="77777777" w:rsidTr="00251938">
        <w:tc>
          <w:tcPr>
            <w:tcW w:w="1423" w:type="dxa"/>
            <w:vAlign w:val="center"/>
          </w:tcPr>
          <w:p w14:paraId="70246384"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F0ABA83"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19A1FB4D"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763265E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067D34B4"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0C5B9DC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1BFD014"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269E566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7E46FC3E" w14:textId="77777777" w:rsidTr="00251938">
        <w:tc>
          <w:tcPr>
            <w:tcW w:w="1423" w:type="dxa"/>
            <w:vMerge w:val="restart"/>
            <w:vAlign w:val="center"/>
          </w:tcPr>
          <w:p w14:paraId="5D2F996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Employment</w:t>
            </w:r>
          </w:p>
        </w:tc>
        <w:tc>
          <w:tcPr>
            <w:tcW w:w="1693" w:type="dxa"/>
            <w:vAlign w:val="center"/>
          </w:tcPr>
          <w:p w14:paraId="061D0E71"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Unemployed</w:t>
            </w:r>
          </w:p>
        </w:tc>
        <w:tc>
          <w:tcPr>
            <w:tcW w:w="904" w:type="dxa"/>
            <w:vAlign w:val="center"/>
          </w:tcPr>
          <w:p w14:paraId="23BFA8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263</w:t>
            </w:r>
          </w:p>
        </w:tc>
        <w:tc>
          <w:tcPr>
            <w:tcW w:w="1008" w:type="dxa"/>
            <w:vAlign w:val="center"/>
          </w:tcPr>
          <w:p w14:paraId="0AAFC06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76.90%</w:t>
            </w:r>
          </w:p>
        </w:tc>
        <w:tc>
          <w:tcPr>
            <w:tcW w:w="905" w:type="dxa"/>
            <w:vAlign w:val="center"/>
          </w:tcPr>
          <w:p w14:paraId="1374954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125</w:t>
            </w:r>
          </w:p>
        </w:tc>
        <w:tc>
          <w:tcPr>
            <w:tcW w:w="1009" w:type="dxa"/>
            <w:vAlign w:val="center"/>
          </w:tcPr>
          <w:p w14:paraId="7A8F42D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85.03%</w:t>
            </w:r>
          </w:p>
        </w:tc>
        <w:tc>
          <w:tcPr>
            <w:tcW w:w="905" w:type="dxa"/>
            <w:vAlign w:val="center"/>
          </w:tcPr>
          <w:p w14:paraId="65043CF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53</w:t>
            </w:r>
          </w:p>
        </w:tc>
        <w:tc>
          <w:tcPr>
            <w:tcW w:w="1009" w:type="dxa"/>
            <w:vAlign w:val="center"/>
          </w:tcPr>
          <w:p w14:paraId="6EA3001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74.65%</w:t>
            </w:r>
          </w:p>
        </w:tc>
      </w:tr>
      <w:tr w:rsidR="00F5334D" w:rsidRPr="00E2464D" w14:paraId="0FC4A6C1" w14:textId="77777777" w:rsidTr="00251938">
        <w:tc>
          <w:tcPr>
            <w:tcW w:w="1423" w:type="dxa"/>
            <w:vMerge/>
            <w:vAlign w:val="center"/>
          </w:tcPr>
          <w:p w14:paraId="0447D5D5"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52E2F0D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Employed</w:t>
            </w:r>
          </w:p>
        </w:tc>
        <w:tc>
          <w:tcPr>
            <w:tcW w:w="904" w:type="dxa"/>
            <w:vAlign w:val="center"/>
          </w:tcPr>
          <w:p w14:paraId="673F60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57</w:t>
            </w:r>
          </w:p>
        </w:tc>
        <w:tc>
          <w:tcPr>
            <w:tcW w:w="1008" w:type="dxa"/>
            <w:vAlign w:val="center"/>
          </w:tcPr>
          <w:p w14:paraId="055664B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16.67%</w:t>
            </w:r>
          </w:p>
        </w:tc>
        <w:tc>
          <w:tcPr>
            <w:tcW w:w="905" w:type="dxa"/>
            <w:vAlign w:val="center"/>
          </w:tcPr>
          <w:p w14:paraId="5E61AA5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22</w:t>
            </w:r>
          </w:p>
        </w:tc>
        <w:tc>
          <w:tcPr>
            <w:tcW w:w="1009" w:type="dxa"/>
            <w:vAlign w:val="center"/>
          </w:tcPr>
          <w:p w14:paraId="63D00BB1"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14.97%</w:t>
            </w:r>
          </w:p>
        </w:tc>
        <w:tc>
          <w:tcPr>
            <w:tcW w:w="905" w:type="dxa"/>
            <w:vAlign w:val="center"/>
          </w:tcPr>
          <w:p w14:paraId="3F5D61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w:t>
            </w:r>
          </w:p>
        </w:tc>
        <w:tc>
          <w:tcPr>
            <w:tcW w:w="1009" w:type="dxa"/>
            <w:vAlign w:val="center"/>
          </w:tcPr>
          <w:p w14:paraId="7C70D5B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16.90%</w:t>
            </w:r>
          </w:p>
        </w:tc>
      </w:tr>
      <w:tr w:rsidR="00F5334D" w:rsidRPr="00E2464D" w14:paraId="7DF67842" w14:textId="77777777" w:rsidTr="00251938">
        <w:tc>
          <w:tcPr>
            <w:tcW w:w="1423" w:type="dxa"/>
            <w:vMerge/>
            <w:vAlign w:val="center"/>
          </w:tcPr>
          <w:p w14:paraId="063DED98"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0D08B8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Retired</w:t>
            </w:r>
          </w:p>
        </w:tc>
        <w:tc>
          <w:tcPr>
            <w:tcW w:w="904" w:type="dxa"/>
            <w:vAlign w:val="center"/>
          </w:tcPr>
          <w:p w14:paraId="2B85936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w:t>
            </w:r>
          </w:p>
        </w:tc>
        <w:tc>
          <w:tcPr>
            <w:tcW w:w="1008" w:type="dxa"/>
            <w:vAlign w:val="center"/>
          </w:tcPr>
          <w:p w14:paraId="3E75D78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1.75%</w:t>
            </w:r>
          </w:p>
        </w:tc>
        <w:tc>
          <w:tcPr>
            <w:tcW w:w="905" w:type="dxa"/>
            <w:vAlign w:val="center"/>
          </w:tcPr>
          <w:p w14:paraId="49DB07F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72CDCDC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0.00%</w:t>
            </w:r>
          </w:p>
        </w:tc>
        <w:tc>
          <w:tcPr>
            <w:tcW w:w="905" w:type="dxa"/>
            <w:vAlign w:val="center"/>
          </w:tcPr>
          <w:p w14:paraId="5C5CEBF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vAlign w:val="center"/>
          </w:tcPr>
          <w:p w14:paraId="73D643D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1.41%</w:t>
            </w:r>
          </w:p>
        </w:tc>
      </w:tr>
      <w:tr w:rsidR="00F5334D" w:rsidRPr="00E2464D" w14:paraId="793FE560" w14:textId="77777777" w:rsidTr="00251938">
        <w:tc>
          <w:tcPr>
            <w:tcW w:w="1423" w:type="dxa"/>
            <w:vMerge/>
            <w:vAlign w:val="center"/>
          </w:tcPr>
          <w:p w14:paraId="7370694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A84630C" w14:textId="75172C11" w:rsidR="00F5334D" w:rsidRPr="00E2464D" w:rsidRDefault="00F25A97" w:rsidP="003D4FF5">
            <w:pPr>
              <w:spacing w:line="360" w:lineRule="auto"/>
              <w:jc w:val="both"/>
              <w:rPr>
                <w:rFonts w:ascii="Times New Roman" w:hAnsi="Times New Roman" w:cs="Times New Roman"/>
                <w:sz w:val="18"/>
                <w:szCs w:val="18"/>
              </w:rPr>
            </w:pPr>
            <w:r>
              <w:rPr>
                <w:rFonts w:ascii="Times New Roman" w:hAnsi="Times New Roman" w:cs="Times New Roman"/>
                <w:sz w:val="18"/>
                <w:szCs w:val="18"/>
              </w:rPr>
              <w:t>Missing data</w:t>
            </w:r>
          </w:p>
        </w:tc>
        <w:tc>
          <w:tcPr>
            <w:tcW w:w="904" w:type="dxa"/>
            <w:vAlign w:val="center"/>
          </w:tcPr>
          <w:p w14:paraId="03D8A6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w:t>
            </w:r>
          </w:p>
        </w:tc>
        <w:tc>
          <w:tcPr>
            <w:tcW w:w="1008" w:type="dxa"/>
            <w:vAlign w:val="center"/>
          </w:tcPr>
          <w:p w14:paraId="2977EF2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4.68%</w:t>
            </w:r>
          </w:p>
        </w:tc>
        <w:tc>
          <w:tcPr>
            <w:tcW w:w="905" w:type="dxa"/>
            <w:vAlign w:val="center"/>
          </w:tcPr>
          <w:p w14:paraId="791EEB5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3237FEB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0.00%</w:t>
            </w:r>
          </w:p>
        </w:tc>
        <w:tc>
          <w:tcPr>
            <w:tcW w:w="905" w:type="dxa"/>
            <w:vAlign w:val="center"/>
          </w:tcPr>
          <w:p w14:paraId="29347C1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w:t>
            </w:r>
          </w:p>
        </w:tc>
        <w:tc>
          <w:tcPr>
            <w:tcW w:w="1009" w:type="dxa"/>
            <w:vAlign w:val="center"/>
          </w:tcPr>
          <w:p w14:paraId="5D89599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7.04%</w:t>
            </w:r>
          </w:p>
        </w:tc>
      </w:tr>
      <w:tr w:rsidR="00F5334D" w:rsidRPr="00E2464D" w14:paraId="1D2F8877" w14:textId="77777777" w:rsidTr="00251938">
        <w:tc>
          <w:tcPr>
            <w:tcW w:w="1423" w:type="dxa"/>
            <w:vAlign w:val="center"/>
          </w:tcPr>
          <w:p w14:paraId="234F920E"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EA2F86E" w14:textId="25F4F995" w:rsidR="008504B1" w:rsidRPr="00E2464D" w:rsidRDefault="008504B1" w:rsidP="003D4FF5">
            <w:pPr>
              <w:spacing w:line="360" w:lineRule="auto"/>
              <w:jc w:val="both"/>
              <w:rPr>
                <w:rFonts w:ascii="Times New Roman" w:hAnsi="Times New Roman" w:cs="Times New Roman"/>
                <w:sz w:val="18"/>
                <w:szCs w:val="18"/>
              </w:rPr>
            </w:pPr>
          </w:p>
        </w:tc>
        <w:tc>
          <w:tcPr>
            <w:tcW w:w="904" w:type="dxa"/>
            <w:vAlign w:val="center"/>
          </w:tcPr>
          <w:p w14:paraId="0D216988"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55DA4A84"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2698810"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1595AD0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A1C7A0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2182422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6F3AE6BC" w14:textId="77777777" w:rsidTr="00251938">
        <w:tc>
          <w:tcPr>
            <w:tcW w:w="1423" w:type="dxa"/>
            <w:vMerge w:val="restart"/>
            <w:vAlign w:val="center"/>
          </w:tcPr>
          <w:p w14:paraId="4392F19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Marital status</w:t>
            </w:r>
          </w:p>
        </w:tc>
        <w:tc>
          <w:tcPr>
            <w:tcW w:w="1693" w:type="dxa"/>
            <w:vAlign w:val="center"/>
          </w:tcPr>
          <w:p w14:paraId="774B9FD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Cohabiting</w:t>
            </w:r>
          </w:p>
        </w:tc>
        <w:tc>
          <w:tcPr>
            <w:tcW w:w="904" w:type="dxa"/>
            <w:vAlign w:val="center"/>
          </w:tcPr>
          <w:p w14:paraId="2B4122A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30</w:t>
            </w:r>
          </w:p>
        </w:tc>
        <w:tc>
          <w:tcPr>
            <w:tcW w:w="1008" w:type="dxa"/>
            <w:vAlign w:val="center"/>
          </w:tcPr>
          <w:p w14:paraId="7CDC19A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8.77%</w:t>
            </w:r>
          </w:p>
        </w:tc>
        <w:tc>
          <w:tcPr>
            <w:tcW w:w="905" w:type="dxa"/>
            <w:vAlign w:val="center"/>
          </w:tcPr>
          <w:p w14:paraId="22D09DC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9" w:type="dxa"/>
            <w:vAlign w:val="center"/>
          </w:tcPr>
          <w:p w14:paraId="3841455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12.93%</w:t>
            </w:r>
          </w:p>
        </w:tc>
        <w:tc>
          <w:tcPr>
            <w:tcW w:w="905" w:type="dxa"/>
            <w:vAlign w:val="center"/>
          </w:tcPr>
          <w:p w14:paraId="3B0DEBF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w:t>
            </w:r>
          </w:p>
        </w:tc>
        <w:tc>
          <w:tcPr>
            <w:tcW w:w="1009" w:type="dxa"/>
            <w:vAlign w:val="center"/>
          </w:tcPr>
          <w:p w14:paraId="2022B9B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12.68%</w:t>
            </w:r>
          </w:p>
        </w:tc>
      </w:tr>
      <w:tr w:rsidR="00F5334D" w:rsidRPr="00E2464D" w14:paraId="7A506314" w14:textId="77777777" w:rsidTr="00251938">
        <w:tc>
          <w:tcPr>
            <w:tcW w:w="1423" w:type="dxa"/>
            <w:vMerge/>
            <w:vAlign w:val="center"/>
          </w:tcPr>
          <w:p w14:paraId="41B2AAE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7E53AD2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Single</w:t>
            </w:r>
          </w:p>
        </w:tc>
        <w:tc>
          <w:tcPr>
            <w:tcW w:w="904" w:type="dxa"/>
            <w:vAlign w:val="center"/>
          </w:tcPr>
          <w:p w14:paraId="6B2651F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210</w:t>
            </w:r>
          </w:p>
        </w:tc>
        <w:tc>
          <w:tcPr>
            <w:tcW w:w="1008" w:type="dxa"/>
            <w:vAlign w:val="center"/>
          </w:tcPr>
          <w:p w14:paraId="38241FF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61.40%</w:t>
            </w:r>
          </w:p>
        </w:tc>
        <w:tc>
          <w:tcPr>
            <w:tcW w:w="905" w:type="dxa"/>
            <w:vAlign w:val="center"/>
          </w:tcPr>
          <w:p w14:paraId="5CEB24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83</w:t>
            </w:r>
          </w:p>
        </w:tc>
        <w:tc>
          <w:tcPr>
            <w:tcW w:w="1009" w:type="dxa"/>
            <w:vAlign w:val="center"/>
          </w:tcPr>
          <w:p w14:paraId="43E2CBF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56.46%</w:t>
            </w:r>
          </w:p>
        </w:tc>
        <w:tc>
          <w:tcPr>
            <w:tcW w:w="905" w:type="dxa"/>
            <w:vAlign w:val="center"/>
          </w:tcPr>
          <w:p w14:paraId="6EB86BD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45</w:t>
            </w:r>
          </w:p>
        </w:tc>
        <w:tc>
          <w:tcPr>
            <w:tcW w:w="1009" w:type="dxa"/>
            <w:vAlign w:val="center"/>
          </w:tcPr>
          <w:p w14:paraId="340D38F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63.38%</w:t>
            </w:r>
          </w:p>
        </w:tc>
      </w:tr>
      <w:tr w:rsidR="00F5334D" w:rsidRPr="00E2464D" w14:paraId="30CC0EC2" w14:textId="77777777" w:rsidTr="00251938">
        <w:tc>
          <w:tcPr>
            <w:tcW w:w="1423" w:type="dxa"/>
            <w:vMerge/>
            <w:vAlign w:val="center"/>
          </w:tcPr>
          <w:p w14:paraId="78F5EB4D"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D50DEB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Married</w:t>
            </w:r>
          </w:p>
        </w:tc>
        <w:tc>
          <w:tcPr>
            <w:tcW w:w="904" w:type="dxa"/>
            <w:vAlign w:val="center"/>
          </w:tcPr>
          <w:p w14:paraId="727BC73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86</w:t>
            </w:r>
          </w:p>
        </w:tc>
        <w:tc>
          <w:tcPr>
            <w:tcW w:w="1008" w:type="dxa"/>
            <w:vAlign w:val="center"/>
          </w:tcPr>
          <w:p w14:paraId="1195D1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25.15%</w:t>
            </w:r>
          </w:p>
        </w:tc>
        <w:tc>
          <w:tcPr>
            <w:tcW w:w="905" w:type="dxa"/>
            <w:vAlign w:val="center"/>
          </w:tcPr>
          <w:p w14:paraId="3B8E7F2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40</w:t>
            </w:r>
          </w:p>
        </w:tc>
        <w:tc>
          <w:tcPr>
            <w:tcW w:w="1009" w:type="dxa"/>
            <w:vAlign w:val="center"/>
          </w:tcPr>
          <w:p w14:paraId="64B00FB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27.21%</w:t>
            </w:r>
          </w:p>
        </w:tc>
        <w:tc>
          <w:tcPr>
            <w:tcW w:w="905" w:type="dxa"/>
            <w:vAlign w:val="center"/>
          </w:tcPr>
          <w:p w14:paraId="5157F3E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w:t>
            </w:r>
          </w:p>
        </w:tc>
        <w:tc>
          <w:tcPr>
            <w:tcW w:w="1009" w:type="dxa"/>
            <w:vAlign w:val="center"/>
          </w:tcPr>
          <w:p w14:paraId="36352B5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19.72%</w:t>
            </w:r>
          </w:p>
        </w:tc>
      </w:tr>
      <w:tr w:rsidR="00F5334D" w:rsidRPr="00E2464D" w14:paraId="02C318B7" w14:textId="77777777" w:rsidTr="00251938">
        <w:tc>
          <w:tcPr>
            <w:tcW w:w="1423" w:type="dxa"/>
            <w:vMerge/>
            <w:vAlign w:val="center"/>
          </w:tcPr>
          <w:p w14:paraId="1F5EE8C4"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7147B3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Widowed</w:t>
            </w:r>
          </w:p>
        </w:tc>
        <w:tc>
          <w:tcPr>
            <w:tcW w:w="904" w:type="dxa"/>
            <w:vAlign w:val="center"/>
          </w:tcPr>
          <w:p w14:paraId="07C71EC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w:t>
            </w:r>
          </w:p>
        </w:tc>
        <w:tc>
          <w:tcPr>
            <w:tcW w:w="1008" w:type="dxa"/>
            <w:vAlign w:val="center"/>
          </w:tcPr>
          <w:p w14:paraId="7CF3BA0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2.63%</w:t>
            </w:r>
          </w:p>
        </w:tc>
        <w:tc>
          <w:tcPr>
            <w:tcW w:w="905" w:type="dxa"/>
            <w:vAlign w:val="center"/>
          </w:tcPr>
          <w:p w14:paraId="2D34E90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w:t>
            </w:r>
          </w:p>
        </w:tc>
        <w:tc>
          <w:tcPr>
            <w:tcW w:w="1009" w:type="dxa"/>
            <w:vAlign w:val="center"/>
          </w:tcPr>
          <w:p w14:paraId="61DB770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2.72%</w:t>
            </w:r>
          </w:p>
        </w:tc>
        <w:tc>
          <w:tcPr>
            <w:tcW w:w="905" w:type="dxa"/>
            <w:vAlign w:val="center"/>
          </w:tcPr>
          <w:p w14:paraId="3B72DD3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w:t>
            </w:r>
          </w:p>
        </w:tc>
        <w:tc>
          <w:tcPr>
            <w:tcW w:w="1009" w:type="dxa"/>
            <w:vAlign w:val="center"/>
          </w:tcPr>
          <w:p w14:paraId="409DDA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2.82%</w:t>
            </w:r>
          </w:p>
        </w:tc>
      </w:tr>
      <w:tr w:rsidR="00F5334D" w:rsidRPr="00E2464D" w14:paraId="3DCAF2BB" w14:textId="77777777" w:rsidTr="00251938">
        <w:tc>
          <w:tcPr>
            <w:tcW w:w="1423" w:type="dxa"/>
            <w:vMerge/>
            <w:tcBorders>
              <w:bottom w:val="single" w:sz="8" w:space="0" w:color="auto"/>
            </w:tcBorders>
            <w:vAlign w:val="center"/>
          </w:tcPr>
          <w:p w14:paraId="1197DED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tcBorders>
              <w:bottom w:val="single" w:sz="8" w:space="0" w:color="auto"/>
            </w:tcBorders>
            <w:vAlign w:val="center"/>
          </w:tcPr>
          <w:p w14:paraId="0A4D17C9" w14:textId="0D07470C" w:rsidR="00F5334D" w:rsidRPr="00F25A97" w:rsidRDefault="00F25A97" w:rsidP="003D4FF5">
            <w:pPr>
              <w:spacing w:line="360" w:lineRule="auto"/>
              <w:jc w:val="both"/>
              <w:rPr>
                <w:rFonts w:ascii="Times New Roman" w:hAnsi="Times New Roman" w:cs="Times New Roman"/>
                <w:sz w:val="18"/>
                <w:szCs w:val="18"/>
              </w:rPr>
            </w:pPr>
            <w:r w:rsidRPr="00F25A97">
              <w:rPr>
                <w:rFonts w:ascii="Times New Roman" w:hAnsi="Times New Roman" w:cs="Times New Roman"/>
                <w:sz w:val="18"/>
                <w:szCs w:val="18"/>
              </w:rPr>
              <w:t>Missing data</w:t>
            </w:r>
          </w:p>
        </w:tc>
        <w:tc>
          <w:tcPr>
            <w:tcW w:w="904" w:type="dxa"/>
            <w:tcBorders>
              <w:bottom w:val="single" w:sz="8" w:space="0" w:color="auto"/>
            </w:tcBorders>
            <w:vAlign w:val="center"/>
          </w:tcPr>
          <w:p w14:paraId="4A96222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8" w:type="dxa"/>
            <w:tcBorders>
              <w:bottom w:val="single" w:sz="8" w:space="0" w:color="auto"/>
            </w:tcBorders>
            <w:vAlign w:val="center"/>
          </w:tcPr>
          <w:p w14:paraId="7CAA265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2.05%</w:t>
            </w:r>
          </w:p>
        </w:tc>
        <w:tc>
          <w:tcPr>
            <w:tcW w:w="905" w:type="dxa"/>
            <w:tcBorders>
              <w:bottom w:val="single" w:sz="8" w:space="0" w:color="auto"/>
            </w:tcBorders>
            <w:vAlign w:val="center"/>
          </w:tcPr>
          <w:p w14:paraId="268D931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tcBorders>
              <w:bottom w:val="single" w:sz="8" w:space="0" w:color="auto"/>
            </w:tcBorders>
            <w:vAlign w:val="center"/>
          </w:tcPr>
          <w:p w14:paraId="2051089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0.68%</w:t>
            </w:r>
          </w:p>
        </w:tc>
        <w:tc>
          <w:tcPr>
            <w:tcW w:w="905" w:type="dxa"/>
            <w:tcBorders>
              <w:bottom w:val="single" w:sz="8" w:space="0" w:color="auto"/>
            </w:tcBorders>
            <w:vAlign w:val="center"/>
          </w:tcPr>
          <w:p w14:paraId="5FC4436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tcBorders>
              <w:bottom w:val="single" w:sz="8" w:space="0" w:color="auto"/>
            </w:tcBorders>
            <w:vAlign w:val="center"/>
          </w:tcPr>
          <w:p w14:paraId="075AB4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1.41%</w:t>
            </w:r>
          </w:p>
        </w:tc>
      </w:tr>
    </w:tbl>
    <w:p w14:paraId="6EAED835" w14:textId="20E85C5C" w:rsidR="00EF6DA5" w:rsidRPr="00F25A97" w:rsidRDefault="00F5334D" w:rsidP="00F25A97">
      <w:pPr>
        <w:spacing w:after="0" w:line="360" w:lineRule="auto"/>
        <w:ind w:firstLine="567"/>
        <w:jc w:val="both"/>
        <w:rPr>
          <w:rFonts w:ascii="Times New Roman" w:hAnsi="Times New Roman" w:cs="Times New Roman"/>
          <w:sz w:val="20"/>
          <w:szCs w:val="20"/>
        </w:rPr>
      </w:pPr>
      <w:r w:rsidRPr="00E2464D">
        <w:rPr>
          <w:rFonts w:ascii="Times New Roman" w:hAnsi="Times New Roman" w:cs="Times New Roman"/>
          <w:sz w:val="20"/>
          <w:szCs w:val="20"/>
        </w:rPr>
        <w:t xml:space="preserve">Note. </w:t>
      </w:r>
      <w:r w:rsidR="00F25A97" w:rsidRPr="00F25A97">
        <w:rPr>
          <w:rFonts w:ascii="Times New Roman" w:hAnsi="Times New Roman" w:cs="Times New Roman"/>
          <w:sz w:val="20"/>
          <w:szCs w:val="20"/>
        </w:rPr>
        <w:t>Non-recidivists are individuals convicted of sexual offences who are not repeat offenders. Recidivists for other sexual offences are individuals convicted of sexual offences who have reoffended by committing sexual offences other than rape. Recidivists for the criminal offence of rape are individuals convicted of sexual offences who have reoffended by committing the criminal offence of rape.</w:t>
      </w:r>
    </w:p>
    <w:p w14:paraId="44A95AEC" w14:textId="33069BB9" w:rsidR="00EF6DA5" w:rsidRDefault="00EF6DA5" w:rsidP="00695A2D">
      <w:pPr>
        <w:spacing w:after="0" w:line="360" w:lineRule="auto"/>
        <w:jc w:val="both"/>
        <w:rPr>
          <w:rFonts w:ascii="Times New Roman" w:hAnsi="Times New Roman" w:cs="Times New Roman"/>
          <w:sz w:val="24"/>
          <w:szCs w:val="24"/>
        </w:rPr>
      </w:pPr>
    </w:p>
    <w:p w14:paraId="4173FAA2" w14:textId="3BCBE6F8" w:rsidR="00695A2D" w:rsidRPr="00695A2D" w:rsidRDefault="00695A2D" w:rsidP="0039734C">
      <w:pPr>
        <w:spacing w:after="0" w:line="360" w:lineRule="auto"/>
        <w:ind w:firstLine="567"/>
        <w:jc w:val="both"/>
        <w:rPr>
          <w:rFonts w:ascii="Times New Roman" w:hAnsi="Times New Roman" w:cs="Times New Roman"/>
          <w:sz w:val="24"/>
          <w:szCs w:val="24"/>
        </w:rPr>
      </w:pPr>
      <w:r w:rsidRPr="00695A2D">
        <w:rPr>
          <w:rFonts w:ascii="Times New Roman" w:hAnsi="Times New Roman" w:cs="Times New Roman"/>
          <w:sz w:val="24"/>
          <w:szCs w:val="24"/>
        </w:rPr>
        <w:t>The results of the one-way analysis of variance (ANOVA) indicated statistically significant differences among the examined groups with respect to the age of convicted individuals (F(2, 557) = 4.98, p &lt; .01), whereas differences in the number of years spent in correctional institutions were not statistically significant (F(2, 530) = 0.59, p &gt; .05). With regard to the age of convicted individuals, non-recidivists were statistically significantly younger (MDIF = −4.18, p &lt; .01) than recidivists for other sexual offences, while differences between the remaining groups were not statistically significant.</w:t>
      </w:r>
    </w:p>
    <w:p w14:paraId="13BCFD58" w14:textId="0E7F1AB7" w:rsidR="00695A2D" w:rsidRDefault="00695A2D" w:rsidP="0039734C">
      <w:pPr>
        <w:spacing w:after="0" w:line="360" w:lineRule="auto"/>
        <w:ind w:firstLine="567"/>
        <w:jc w:val="both"/>
        <w:rPr>
          <w:rFonts w:ascii="Times New Roman" w:hAnsi="Times New Roman" w:cs="Times New Roman"/>
          <w:sz w:val="24"/>
          <w:szCs w:val="24"/>
        </w:rPr>
      </w:pPr>
    </w:p>
    <w:p w14:paraId="3D309747" w14:textId="77777777" w:rsidR="00695A2D" w:rsidRPr="00E2464D" w:rsidRDefault="00695A2D" w:rsidP="0039734C">
      <w:pPr>
        <w:spacing w:after="0" w:line="360" w:lineRule="auto"/>
        <w:ind w:firstLine="567"/>
        <w:jc w:val="both"/>
        <w:rPr>
          <w:rFonts w:ascii="Times New Roman" w:hAnsi="Times New Roman" w:cs="Times New Roman"/>
          <w:sz w:val="24"/>
          <w:szCs w:val="24"/>
        </w:rPr>
      </w:pPr>
    </w:p>
    <w:p w14:paraId="37A55BD2" w14:textId="3227EC49" w:rsidR="00EF6DA5" w:rsidRDefault="00EF6DA5" w:rsidP="0039734C">
      <w:pPr>
        <w:spacing w:after="0" w:line="360" w:lineRule="auto"/>
        <w:ind w:firstLine="567"/>
        <w:jc w:val="both"/>
        <w:rPr>
          <w:rFonts w:ascii="Times New Roman" w:hAnsi="Times New Roman" w:cs="Times New Roman"/>
          <w:sz w:val="24"/>
          <w:szCs w:val="24"/>
        </w:rPr>
      </w:pPr>
    </w:p>
    <w:p w14:paraId="1946DE11" w14:textId="6C1EF8F0" w:rsidR="00695A2D" w:rsidRPr="00695A2D" w:rsidRDefault="00695A2D" w:rsidP="0039734C">
      <w:pPr>
        <w:spacing w:after="0" w:line="360" w:lineRule="auto"/>
        <w:ind w:firstLine="567"/>
        <w:jc w:val="both"/>
        <w:rPr>
          <w:rFonts w:ascii="Times New Roman" w:hAnsi="Times New Roman" w:cs="Times New Roman"/>
          <w:sz w:val="24"/>
          <w:szCs w:val="24"/>
        </w:rPr>
      </w:pPr>
      <w:r w:rsidRPr="00695A2D">
        <w:rPr>
          <w:rFonts w:ascii="Times New Roman" w:hAnsi="Times New Roman" w:cs="Times New Roman"/>
          <w:sz w:val="24"/>
          <w:szCs w:val="24"/>
        </w:rPr>
        <w:t xml:space="preserve">Regarding educational attainment, employment, and marital status, no statistically significant differences were identified among the groups in terms of education (χ² (10) = 5.14, p = .883) or marital status (χ² (8) = 4.98, p = .790). However, marginally significant differences were found in employment status (χ² (6) = 12.14, p = .059). Compared to the other two groups, </w:t>
      </w:r>
      <w:r w:rsidRPr="00695A2D">
        <w:rPr>
          <w:rStyle w:val="Strong"/>
          <w:rFonts w:ascii="Times New Roman" w:hAnsi="Times New Roman" w:cs="Times New Roman"/>
          <w:b w:val="0"/>
          <w:sz w:val="24"/>
          <w:szCs w:val="24"/>
        </w:rPr>
        <w:t>recidivists for the criminal offence of rape</w:t>
      </w:r>
      <w:r w:rsidRPr="00695A2D">
        <w:rPr>
          <w:rFonts w:ascii="Times New Roman" w:hAnsi="Times New Roman" w:cs="Times New Roman"/>
          <w:sz w:val="24"/>
          <w:szCs w:val="24"/>
        </w:rPr>
        <w:t xml:space="preserve"> exhibited the lowest unemployment rate as well as the highest proportion of missing data.</w:t>
      </w:r>
    </w:p>
    <w:p w14:paraId="6EF31380" w14:textId="39270EFC" w:rsidR="00F25A97" w:rsidRPr="00E2464D" w:rsidRDefault="00F25A97" w:rsidP="00F25A97">
      <w:pPr>
        <w:spacing w:after="0" w:line="360" w:lineRule="auto"/>
        <w:jc w:val="both"/>
        <w:rPr>
          <w:rFonts w:ascii="Times New Roman" w:eastAsia="Times New Roman" w:hAnsi="Times New Roman" w:cs="Times New Roman"/>
          <w:sz w:val="20"/>
          <w:szCs w:val="20"/>
        </w:rPr>
      </w:pPr>
    </w:p>
    <w:p w14:paraId="7E401938" w14:textId="77777777" w:rsidR="00F25A97" w:rsidRPr="00E2464D" w:rsidRDefault="00F25A97" w:rsidP="00F25A97">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t>Profiles of dynamic factors of different groups and differences between groups</w:t>
      </w:r>
    </w:p>
    <w:p w14:paraId="7C148621" w14:textId="77777777" w:rsidR="00F25A97" w:rsidRPr="00E2464D" w:rsidRDefault="00F25A97" w:rsidP="00F25A97">
      <w:pPr>
        <w:spacing w:after="0" w:line="360" w:lineRule="auto"/>
        <w:jc w:val="both"/>
        <w:rPr>
          <w:rFonts w:ascii="Times New Roman" w:hAnsi="Times New Roman" w:cs="Times New Roman"/>
          <w:bCs/>
          <w:sz w:val="10"/>
          <w:szCs w:val="10"/>
        </w:rPr>
      </w:pPr>
    </w:p>
    <w:p w14:paraId="2950B560" w14:textId="0C2D5200" w:rsidR="00F25A97" w:rsidRDefault="00695A2D" w:rsidP="00D25D21">
      <w:pPr>
        <w:pStyle w:val="NormalWeb"/>
        <w:spacing w:before="0" w:beforeAutospacing="0" w:after="0" w:afterAutospacing="0" w:line="360" w:lineRule="auto"/>
        <w:ind w:firstLine="567"/>
        <w:jc w:val="both"/>
      </w:pPr>
      <w:r>
        <w:t xml:space="preserve">Table 3 presents the distribution of dynamic risk and rehabilitative factors across three groups of offenders: </w:t>
      </w:r>
      <w:r w:rsidRPr="00695A2D">
        <w:rPr>
          <w:rStyle w:val="Strong"/>
          <w:b w:val="0"/>
        </w:rPr>
        <w:t>non-recidivists</w:t>
      </w:r>
      <w:r w:rsidRPr="00695A2D">
        <w:rPr>
          <w:b/>
        </w:rPr>
        <w:t xml:space="preserve">, </w:t>
      </w:r>
      <w:r w:rsidRPr="00695A2D">
        <w:rPr>
          <w:rStyle w:val="Strong"/>
          <w:b w:val="0"/>
        </w:rPr>
        <w:t>recidivists for other sexual offences</w:t>
      </w:r>
      <w:r w:rsidRPr="006438CF">
        <w:t>, and</w:t>
      </w:r>
      <w:r w:rsidRPr="00695A2D">
        <w:rPr>
          <w:b/>
        </w:rPr>
        <w:t xml:space="preserve"> </w:t>
      </w:r>
      <w:r w:rsidRPr="00695A2D">
        <w:rPr>
          <w:rStyle w:val="Strong"/>
          <w:b w:val="0"/>
        </w:rPr>
        <w:t>recidivists for the criminal offence of rape</w:t>
      </w:r>
      <w:r w:rsidRPr="00695A2D">
        <w:rPr>
          <w:b/>
        </w:rPr>
        <w:t>.</w:t>
      </w:r>
      <w:r>
        <w:t xml:space="preserve"> Statistically significant differences between the groups were identified for four variables: personality disorders, participation in specialised rehabilitation programmes, participation in anger management programmes, and work engagement.</w:t>
      </w:r>
    </w:p>
    <w:p w14:paraId="3E6A5675" w14:textId="6E828118" w:rsidR="00D25D21" w:rsidRDefault="00695A2D" w:rsidP="00D25D21">
      <w:pPr>
        <w:pStyle w:val="NormalWeb"/>
        <w:spacing w:before="0" w:beforeAutospacing="0" w:after="0" w:afterAutospacing="0" w:line="360" w:lineRule="auto"/>
        <w:ind w:firstLine="567"/>
        <w:jc w:val="both"/>
      </w:pPr>
      <w:r w:rsidRPr="00695A2D">
        <w:t xml:space="preserve">Personality disorders were significantly more prevalent among recidivists, with the highest rates observed among </w:t>
      </w:r>
      <w:r w:rsidRPr="00695A2D">
        <w:rPr>
          <w:rStyle w:val="Strong"/>
          <w:b w:val="0"/>
        </w:rPr>
        <w:t>recidivists for other sexual offences</w:t>
      </w:r>
      <w:r w:rsidRPr="00695A2D">
        <w:t xml:space="preserve"> (43.97%), followed by </w:t>
      </w:r>
      <w:r w:rsidRPr="00695A2D">
        <w:rPr>
          <w:rStyle w:val="Strong"/>
          <w:b w:val="0"/>
        </w:rPr>
        <w:t>recidivists for the criminal offence of rape</w:t>
      </w:r>
      <w:r w:rsidRPr="00695A2D">
        <w:t xml:space="preserve"> (32.76%), and the lowest prevalence among </w:t>
      </w:r>
      <w:r w:rsidRPr="00695A2D">
        <w:rPr>
          <w:rStyle w:val="Strong"/>
          <w:b w:val="0"/>
        </w:rPr>
        <w:t>non-recidivists</w:t>
      </w:r>
      <w:r w:rsidRPr="00695A2D">
        <w:t xml:space="preserve"> (19.86%) (</w:t>
      </w:r>
      <w:r w:rsidRPr="00695A2D">
        <w:rPr>
          <w:b/>
        </w:rPr>
        <w:t>χ² = 24.56, p &lt; .001</w:t>
      </w:r>
      <w:r w:rsidRPr="00695A2D">
        <w:t xml:space="preserve">). Participation in specialised rehabilitation programmes was most frequent among </w:t>
      </w:r>
      <w:r w:rsidRPr="00695A2D">
        <w:rPr>
          <w:rStyle w:val="Strong"/>
          <w:b w:val="0"/>
        </w:rPr>
        <w:t>recidivists for the criminal offence of rape</w:t>
      </w:r>
      <w:r w:rsidRPr="00695A2D">
        <w:t xml:space="preserve"> (20.59%), followed by </w:t>
      </w:r>
      <w:r w:rsidRPr="00695A2D">
        <w:rPr>
          <w:rStyle w:val="Strong"/>
          <w:b w:val="0"/>
        </w:rPr>
        <w:t>non-recidivists</w:t>
      </w:r>
      <w:r w:rsidRPr="00695A2D">
        <w:t xml:space="preserve"> (18.89%), and least frequent among </w:t>
      </w:r>
      <w:r w:rsidRPr="00695A2D">
        <w:rPr>
          <w:rStyle w:val="Strong"/>
          <w:b w:val="0"/>
        </w:rPr>
        <w:t>recidivists for other sexual offences</w:t>
      </w:r>
      <w:r w:rsidRPr="00695A2D">
        <w:t xml:space="preserve"> (5.19%) (</w:t>
      </w:r>
      <w:r w:rsidRPr="00D25D21">
        <w:rPr>
          <w:b/>
        </w:rPr>
        <w:t>χ² = 15.06, p = .001</w:t>
      </w:r>
      <w:r w:rsidRPr="00695A2D">
        <w:t xml:space="preserve">). A similar pattern was observed with respect to anger management programmes, with the highest participation among </w:t>
      </w:r>
      <w:r w:rsidRPr="00695A2D">
        <w:rPr>
          <w:rStyle w:val="Strong"/>
          <w:b w:val="0"/>
        </w:rPr>
        <w:t>recidivists for the criminal offence of rape</w:t>
      </w:r>
      <w:r w:rsidRPr="00695A2D">
        <w:t xml:space="preserve"> (16.18%), followed by </w:t>
      </w:r>
      <w:r w:rsidRPr="00695A2D">
        <w:rPr>
          <w:rStyle w:val="Strong"/>
          <w:b w:val="0"/>
        </w:rPr>
        <w:t>non-recidivists</w:t>
      </w:r>
      <w:r w:rsidRPr="00695A2D">
        <w:t xml:space="preserve"> (6.81%) and </w:t>
      </w:r>
      <w:r w:rsidRPr="00695A2D">
        <w:rPr>
          <w:rStyle w:val="Strong"/>
          <w:b w:val="0"/>
        </w:rPr>
        <w:t>recidivists for other sexual offences</w:t>
      </w:r>
      <w:r w:rsidRPr="00695A2D">
        <w:t xml:space="preserve"> (2.22%) (</w:t>
      </w:r>
      <w:r w:rsidRPr="00695A2D">
        <w:rPr>
          <w:b/>
        </w:rPr>
        <w:t>χ² = 13.81, p = .001</w:t>
      </w:r>
      <w:r w:rsidRPr="00695A2D">
        <w:t>).</w:t>
      </w:r>
    </w:p>
    <w:p w14:paraId="3ABFC39B" w14:textId="5ED511AF" w:rsidR="00D25D21" w:rsidRPr="00E2464D" w:rsidRDefault="00D25D21" w:rsidP="00F25A97">
      <w:pPr>
        <w:pStyle w:val="NormalWeb"/>
        <w:spacing w:before="0" w:beforeAutospacing="0" w:after="0" w:afterAutospacing="0" w:line="360" w:lineRule="auto"/>
        <w:ind w:firstLine="567"/>
        <w:jc w:val="both"/>
        <w:sectPr w:rsidR="00D25D21" w:rsidRPr="00E2464D" w:rsidSect="000902B9">
          <w:footerReference w:type="default" r:id="rId8"/>
          <w:pgSz w:w="12240" w:h="15840"/>
          <w:pgMar w:top="1418" w:right="1418" w:bottom="1418" w:left="1418" w:header="720" w:footer="720" w:gutter="0"/>
          <w:cols w:space="720"/>
          <w:docGrid w:linePitch="360"/>
        </w:sectPr>
      </w:pPr>
      <w:r>
        <w:t>Statistically significant differences between the groups were also identified with respect to work engagement (</w:t>
      </w:r>
      <w:r w:rsidRPr="00D25D21">
        <w:rPr>
          <w:b/>
        </w:rPr>
        <w:t>χ² = 16.26, p &lt; .001</w:t>
      </w:r>
      <w:r>
        <w:t xml:space="preserve">), with the highest employment rates observed among </w:t>
      </w:r>
      <w:r w:rsidRPr="00D25D21">
        <w:rPr>
          <w:rStyle w:val="Strong"/>
          <w:b w:val="0"/>
        </w:rPr>
        <w:t>non-recidivists</w:t>
      </w:r>
      <w:r>
        <w:t xml:space="preserve"> (70.59%), followed by </w:t>
      </w:r>
      <w:r w:rsidRPr="00D25D21">
        <w:rPr>
          <w:rStyle w:val="Strong"/>
          <w:b w:val="0"/>
        </w:rPr>
        <w:t>recidivists for the criminal offence of rape</w:t>
      </w:r>
      <w:r>
        <w:t xml:space="preserve"> (60.29%) and </w:t>
      </w:r>
      <w:r w:rsidRPr="00D25D21">
        <w:rPr>
          <w:rStyle w:val="Strong"/>
          <w:b w:val="0"/>
        </w:rPr>
        <w:t>recidivists for other sexual offences</w:t>
      </w:r>
      <w:r>
        <w:t xml:space="preserve"> (51.11%). No statistically significant differences were found for mental illness, alcohol- and substance-related problems, participation in standard rehabilitation programmes, educational engagement, or participation in cultural activities (all p &gt; .05).</w:t>
      </w:r>
    </w:p>
    <w:p w14:paraId="64445DE0" w14:textId="68B387E5" w:rsidR="00F5334D" w:rsidRPr="00E2464D" w:rsidRDefault="00B43021"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3</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Profiles of dynamic factors of different groups and differences between groups.</w:t>
      </w:r>
    </w:p>
    <w:p w14:paraId="2DD234F7" w14:textId="77777777" w:rsidR="00F5334D" w:rsidRPr="00E2464D" w:rsidRDefault="00F5334D" w:rsidP="003D4FF5">
      <w:pPr>
        <w:spacing w:after="0" w:line="360" w:lineRule="auto"/>
        <w:jc w:val="both"/>
        <w:rPr>
          <w:rFonts w:ascii="Times New Roman" w:hAnsi="Times New Roman" w:cs="Times New Roman"/>
          <w:sz w:val="10"/>
          <w:szCs w:val="10"/>
        </w:rPr>
      </w:pPr>
    </w:p>
    <w:tbl>
      <w:tblPr>
        <w:tblW w:w="0" w:type="auto"/>
        <w:tblInd w:w="-15" w:type="dxa"/>
        <w:tblLook w:val="04A0" w:firstRow="1" w:lastRow="0" w:firstColumn="1" w:lastColumn="0" w:noHBand="0" w:noVBand="1"/>
      </w:tblPr>
      <w:tblGrid>
        <w:gridCol w:w="1995"/>
        <w:gridCol w:w="817"/>
        <w:gridCol w:w="621"/>
        <w:gridCol w:w="540"/>
        <w:gridCol w:w="586"/>
        <w:gridCol w:w="840"/>
        <w:gridCol w:w="486"/>
        <w:gridCol w:w="1063"/>
        <w:gridCol w:w="434"/>
        <w:gridCol w:w="771"/>
        <w:gridCol w:w="486"/>
        <w:gridCol w:w="771"/>
      </w:tblGrid>
      <w:tr w:rsidR="006438CF" w:rsidRPr="00E2464D" w14:paraId="650A3870" w14:textId="77777777" w:rsidTr="00A76F24">
        <w:trPr>
          <w:trHeight w:val="288"/>
        </w:trPr>
        <w:tc>
          <w:tcPr>
            <w:tcW w:w="1995" w:type="dxa"/>
            <w:vMerge w:val="restart"/>
            <w:tcBorders>
              <w:top w:val="single" w:sz="4" w:space="0" w:color="auto"/>
            </w:tcBorders>
            <w:noWrap/>
            <w:vAlign w:val="center"/>
            <w:hideMark/>
          </w:tcPr>
          <w:p w14:paraId="7446B25B" w14:textId="77777777" w:rsidR="00F5334D" w:rsidRPr="00E2464D" w:rsidRDefault="00F5334D" w:rsidP="00A76F24">
            <w:pPr>
              <w:spacing w:after="0" w:line="240" w:lineRule="auto"/>
              <w:jc w:val="both"/>
              <w:rPr>
                <w:rFonts w:ascii="Times New Roman" w:eastAsia="Times New Roman" w:hAnsi="Times New Roman" w:cs="Times New Roman"/>
                <w:sz w:val="18"/>
                <w:szCs w:val="18"/>
              </w:rPr>
            </w:pPr>
          </w:p>
        </w:tc>
        <w:tc>
          <w:tcPr>
            <w:tcW w:w="817" w:type="dxa"/>
            <w:vMerge w:val="restart"/>
            <w:tcBorders>
              <w:top w:val="single" w:sz="4" w:space="0" w:color="auto"/>
            </w:tcBorders>
            <w:noWrap/>
            <w:vAlign w:val="center"/>
          </w:tcPr>
          <w:p w14:paraId="573549F7" w14:textId="77777777" w:rsidR="00F5334D" w:rsidRPr="00E2464D" w:rsidRDefault="00F5334D" w:rsidP="00A76F24">
            <w:pPr>
              <w:spacing w:after="0" w:line="240" w:lineRule="auto"/>
              <w:jc w:val="both"/>
              <w:rPr>
                <w:rFonts w:ascii="Times New Roman" w:eastAsia="Times New Roman" w:hAnsi="Times New Roman" w:cs="Times New Roman"/>
                <w:sz w:val="18"/>
                <w:szCs w:val="18"/>
              </w:rPr>
            </w:pPr>
          </w:p>
        </w:tc>
        <w:tc>
          <w:tcPr>
            <w:tcW w:w="620" w:type="dxa"/>
            <w:vMerge w:val="restart"/>
            <w:tcBorders>
              <w:top w:val="single" w:sz="4" w:space="0" w:color="auto"/>
            </w:tcBorders>
            <w:noWrap/>
            <w:vAlign w:val="center"/>
            <w:hideMark/>
          </w:tcPr>
          <w:p w14:paraId="3F8D937D" w14:textId="77777777" w:rsidR="00FA6042" w:rsidRDefault="00FA6042" w:rsidP="00A76F24">
            <w:pPr>
              <w:spacing w:after="0" w:line="240" w:lineRule="auto"/>
              <w:jc w:val="both"/>
              <w:rPr>
                <w:rFonts w:ascii="Times New Roman" w:eastAsia="Times New Roman" w:hAnsi="Times New Roman" w:cs="Times New Roman"/>
                <w:color w:val="000000"/>
                <w:sz w:val="18"/>
                <w:szCs w:val="18"/>
              </w:rPr>
            </w:pPr>
          </w:p>
          <w:p w14:paraId="36594CAB" w14:textId="2E9EC04D" w:rsidR="00F5334D" w:rsidRDefault="00F5334D" w:rsidP="00A76F24">
            <w:pPr>
              <w:spacing w:after="0" w:line="240" w:lineRule="auto"/>
              <w:jc w:val="both"/>
              <w:rPr>
                <w:rFonts w:ascii="Times New Roman" w:eastAsia="Times New Roman" w:hAnsi="Times New Roman" w:cs="Times New Roman"/>
                <w:color w:val="000000"/>
                <w:sz w:val="18"/>
                <w:szCs w:val="18"/>
                <w:vertAlign w:val="superscript"/>
              </w:rPr>
            </w:pPr>
            <w:r w:rsidRPr="00E2464D">
              <w:rPr>
                <w:rFonts w:ascii="Times New Roman" w:eastAsia="Times New Roman" w:hAnsi="Times New Roman" w:cs="Times New Roman"/>
                <w:color w:val="000000"/>
                <w:sz w:val="18"/>
                <w:szCs w:val="18"/>
              </w:rPr>
              <w:t>χ</w:t>
            </w:r>
            <w:r w:rsidRPr="00E2464D">
              <w:rPr>
                <w:rFonts w:ascii="Times New Roman" w:eastAsia="Times New Roman" w:hAnsi="Times New Roman" w:cs="Times New Roman"/>
                <w:color w:val="000000"/>
                <w:sz w:val="18"/>
                <w:szCs w:val="18"/>
                <w:vertAlign w:val="superscript"/>
              </w:rPr>
              <w:t>2</w:t>
            </w:r>
          </w:p>
          <w:p w14:paraId="1B442709" w14:textId="77777777" w:rsidR="00A76F24" w:rsidRDefault="00A76F24" w:rsidP="00A76F24">
            <w:pPr>
              <w:spacing w:after="0" w:line="240" w:lineRule="auto"/>
              <w:jc w:val="both"/>
              <w:rPr>
                <w:rFonts w:ascii="Times New Roman" w:eastAsia="Times New Roman" w:hAnsi="Times New Roman" w:cs="Times New Roman"/>
                <w:color w:val="000000"/>
                <w:sz w:val="18"/>
                <w:szCs w:val="18"/>
                <w:vertAlign w:val="superscript"/>
              </w:rPr>
            </w:pPr>
          </w:p>
          <w:p w14:paraId="7AD691B3" w14:textId="525141C7" w:rsidR="006418B4" w:rsidRDefault="006418B4" w:rsidP="00A76F24">
            <w:pPr>
              <w:spacing w:after="0" w:line="240" w:lineRule="auto"/>
              <w:jc w:val="both"/>
              <w:rPr>
                <w:rFonts w:ascii="Times New Roman" w:eastAsia="Times New Roman" w:hAnsi="Times New Roman" w:cs="Times New Roman"/>
                <w:color w:val="000000"/>
                <w:sz w:val="18"/>
                <w:szCs w:val="18"/>
                <w:vertAlign w:val="superscript"/>
              </w:rPr>
            </w:pPr>
          </w:p>
          <w:p w14:paraId="125560D0" w14:textId="03BB1EFF" w:rsidR="006418B4" w:rsidRDefault="006418B4" w:rsidP="00A76F24">
            <w:pPr>
              <w:spacing w:after="0" w:line="240" w:lineRule="auto"/>
              <w:jc w:val="both"/>
              <w:rPr>
                <w:rFonts w:ascii="Times New Roman" w:eastAsia="Times New Roman" w:hAnsi="Times New Roman" w:cs="Times New Roman"/>
                <w:color w:val="000000"/>
                <w:sz w:val="18"/>
                <w:szCs w:val="18"/>
                <w:vertAlign w:val="superscript"/>
              </w:rPr>
            </w:pPr>
          </w:p>
          <w:p w14:paraId="3CA0BD88" w14:textId="5BA7F095" w:rsidR="006418B4" w:rsidRDefault="006418B4" w:rsidP="00A76F24">
            <w:pPr>
              <w:spacing w:after="0" w:line="240" w:lineRule="auto"/>
              <w:jc w:val="both"/>
              <w:rPr>
                <w:rFonts w:ascii="Times New Roman" w:eastAsia="Times New Roman" w:hAnsi="Times New Roman" w:cs="Times New Roman"/>
                <w:color w:val="000000"/>
                <w:sz w:val="18"/>
                <w:szCs w:val="18"/>
                <w:vertAlign w:val="superscript"/>
              </w:rPr>
            </w:pPr>
          </w:p>
          <w:p w14:paraId="32635AC7" w14:textId="654B453A" w:rsidR="006418B4" w:rsidRPr="00E2464D" w:rsidRDefault="006418B4" w:rsidP="00A76F24">
            <w:pPr>
              <w:spacing w:after="0" w:line="240" w:lineRule="auto"/>
              <w:jc w:val="both"/>
              <w:rPr>
                <w:rFonts w:ascii="Times New Roman" w:eastAsia="Times New Roman" w:hAnsi="Times New Roman" w:cs="Times New Roman"/>
                <w:color w:val="000000"/>
                <w:sz w:val="18"/>
                <w:szCs w:val="18"/>
                <w:vertAlign w:val="superscript"/>
              </w:rPr>
            </w:pPr>
          </w:p>
        </w:tc>
        <w:tc>
          <w:tcPr>
            <w:tcW w:w="540" w:type="dxa"/>
            <w:vMerge w:val="restart"/>
            <w:tcBorders>
              <w:top w:val="single" w:sz="4" w:space="0" w:color="auto"/>
            </w:tcBorders>
            <w:noWrap/>
            <w:vAlign w:val="center"/>
            <w:hideMark/>
          </w:tcPr>
          <w:p w14:paraId="671CCE24" w14:textId="77777777" w:rsidR="00FA6042" w:rsidRDefault="00FA6042" w:rsidP="00A76F24">
            <w:pPr>
              <w:spacing w:after="0" w:line="240" w:lineRule="auto"/>
              <w:jc w:val="both"/>
              <w:rPr>
                <w:rFonts w:ascii="Times New Roman" w:eastAsia="Times New Roman" w:hAnsi="Times New Roman" w:cs="Times New Roman"/>
                <w:color w:val="000000"/>
                <w:sz w:val="18"/>
                <w:szCs w:val="18"/>
              </w:rPr>
            </w:pPr>
          </w:p>
          <w:p w14:paraId="2AA40D9F" w14:textId="1E199722" w:rsidR="00F5334D" w:rsidRDefault="006418B4"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w:t>
            </w:r>
          </w:p>
          <w:p w14:paraId="7552F470"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65AFEA1E"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254F8F1B"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08DF00AE"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289E5A2A" w14:textId="2CF95EA1" w:rsidR="006418B4" w:rsidRPr="00E2464D" w:rsidRDefault="006418B4" w:rsidP="00A76F24">
            <w:pPr>
              <w:spacing w:after="0" w:line="240" w:lineRule="auto"/>
              <w:jc w:val="both"/>
              <w:rPr>
                <w:rFonts w:ascii="Times New Roman" w:eastAsia="Times New Roman" w:hAnsi="Times New Roman" w:cs="Times New Roman"/>
                <w:color w:val="000000"/>
                <w:sz w:val="18"/>
                <w:szCs w:val="18"/>
              </w:rPr>
            </w:pPr>
          </w:p>
        </w:tc>
        <w:tc>
          <w:tcPr>
            <w:tcW w:w="1426" w:type="dxa"/>
            <w:gridSpan w:val="2"/>
            <w:tcBorders>
              <w:top w:val="single" w:sz="4" w:space="0" w:color="auto"/>
            </w:tcBorders>
            <w:noWrap/>
            <w:vAlign w:val="center"/>
            <w:hideMark/>
          </w:tcPr>
          <w:p w14:paraId="556CD3FE" w14:textId="77777777" w:rsidR="00D25D21" w:rsidRPr="00D25D21" w:rsidRDefault="00D25D21" w:rsidP="00A76F24">
            <w:pPr>
              <w:spacing w:after="0" w:line="240" w:lineRule="auto"/>
              <w:jc w:val="both"/>
              <w:rPr>
                <w:rFonts w:ascii="Times New Roman" w:hAnsi="Times New Roman" w:cs="Times New Roman"/>
                <w:sz w:val="18"/>
                <w:szCs w:val="18"/>
              </w:rPr>
            </w:pPr>
            <w:r>
              <w:rPr>
                <w:rFonts w:ascii="Times New Roman" w:hAnsi="Times New Roman" w:cs="Times New Roman"/>
                <w:sz w:val="18"/>
                <w:szCs w:val="18"/>
              </w:rPr>
              <w:t>N</w:t>
            </w:r>
            <w:r w:rsidRPr="00D25D21">
              <w:rPr>
                <w:rFonts w:ascii="Times New Roman" w:hAnsi="Times New Roman" w:cs="Times New Roman"/>
                <w:sz w:val="18"/>
                <w:szCs w:val="18"/>
              </w:rPr>
              <w:t>on-recidivists</w:t>
            </w:r>
          </w:p>
          <w:p w14:paraId="6E10A069" w14:textId="77777777" w:rsidR="00F5334D" w:rsidRDefault="00F5334D" w:rsidP="00A76F24">
            <w:pPr>
              <w:spacing w:after="0" w:line="240" w:lineRule="auto"/>
              <w:jc w:val="both"/>
              <w:rPr>
                <w:rFonts w:ascii="Times New Roman" w:hAnsi="Times New Roman" w:cs="Times New Roman"/>
                <w:sz w:val="18"/>
                <w:szCs w:val="18"/>
              </w:rPr>
            </w:pPr>
          </w:p>
          <w:p w14:paraId="5DF5B6E0" w14:textId="13533F10" w:rsidR="006418B4" w:rsidRPr="00976422" w:rsidRDefault="006418B4" w:rsidP="00A76F24">
            <w:pPr>
              <w:spacing w:after="0" w:line="240" w:lineRule="auto"/>
              <w:jc w:val="both"/>
              <w:rPr>
                <w:rFonts w:ascii="Times New Roman" w:hAnsi="Times New Roman" w:cs="Times New Roman"/>
                <w:sz w:val="18"/>
                <w:szCs w:val="18"/>
              </w:rPr>
            </w:pPr>
          </w:p>
        </w:tc>
        <w:tc>
          <w:tcPr>
            <w:tcW w:w="1549" w:type="dxa"/>
            <w:gridSpan w:val="2"/>
            <w:tcBorders>
              <w:top w:val="single" w:sz="4" w:space="0" w:color="auto"/>
            </w:tcBorders>
            <w:noWrap/>
            <w:vAlign w:val="center"/>
            <w:hideMark/>
          </w:tcPr>
          <w:p w14:paraId="24743E92" w14:textId="77777777" w:rsidR="00F5334D" w:rsidRDefault="00D25D21" w:rsidP="00A76F24">
            <w:pPr>
              <w:spacing w:after="0" w:line="240" w:lineRule="auto"/>
              <w:jc w:val="both"/>
              <w:rPr>
                <w:rFonts w:ascii="Times New Roman" w:hAnsi="Times New Roman" w:cs="Times New Roman"/>
                <w:sz w:val="18"/>
                <w:szCs w:val="18"/>
              </w:rPr>
            </w:pPr>
            <w:r w:rsidRPr="00D25D21">
              <w:rPr>
                <w:rFonts w:ascii="Times New Roman" w:hAnsi="Times New Roman" w:cs="Times New Roman"/>
                <w:sz w:val="18"/>
                <w:szCs w:val="18"/>
              </w:rPr>
              <w:t>Recidivists for other sexual offences</w:t>
            </w:r>
          </w:p>
          <w:p w14:paraId="572AAE46" w14:textId="77777777" w:rsidR="006438CF" w:rsidRDefault="006438CF" w:rsidP="00A76F24">
            <w:pPr>
              <w:spacing w:after="0" w:line="240" w:lineRule="auto"/>
              <w:jc w:val="both"/>
              <w:rPr>
                <w:rFonts w:ascii="Times New Roman" w:hAnsi="Times New Roman" w:cs="Times New Roman"/>
                <w:sz w:val="18"/>
                <w:szCs w:val="18"/>
              </w:rPr>
            </w:pPr>
          </w:p>
          <w:p w14:paraId="3675A35D" w14:textId="3A18AAFC" w:rsidR="006418B4" w:rsidRPr="00D7165B" w:rsidRDefault="006418B4" w:rsidP="00A76F24">
            <w:pPr>
              <w:spacing w:after="0" w:line="240" w:lineRule="auto"/>
              <w:jc w:val="both"/>
              <w:rPr>
                <w:rFonts w:ascii="Times New Roman" w:hAnsi="Times New Roman" w:cs="Times New Roman"/>
                <w:sz w:val="18"/>
                <w:szCs w:val="18"/>
              </w:rPr>
            </w:pPr>
          </w:p>
        </w:tc>
        <w:tc>
          <w:tcPr>
            <w:tcW w:w="1205" w:type="dxa"/>
            <w:gridSpan w:val="2"/>
            <w:tcBorders>
              <w:top w:val="single" w:sz="4" w:space="0" w:color="auto"/>
            </w:tcBorders>
            <w:noWrap/>
            <w:vAlign w:val="center"/>
            <w:hideMark/>
          </w:tcPr>
          <w:p w14:paraId="5A090784" w14:textId="1D676F2E" w:rsidR="00FA6042" w:rsidRPr="00E2464D" w:rsidRDefault="00D25D21" w:rsidP="00A76F24">
            <w:pPr>
              <w:spacing w:after="0" w:line="240" w:lineRule="auto"/>
              <w:jc w:val="both"/>
              <w:rPr>
                <w:rFonts w:ascii="Times New Roman" w:eastAsia="Times New Roman" w:hAnsi="Times New Roman" w:cs="Times New Roman"/>
                <w:color w:val="000000"/>
                <w:sz w:val="18"/>
                <w:szCs w:val="18"/>
              </w:rPr>
            </w:pPr>
            <w:r w:rsidRPr="00D25D21">
              <w:rPr>
                <w:rFonts w:ascii="Times New Roman" w:hAnsi="Times New Roman" w:cs="Times New Roman"/>
                <w:sz w:val="18"/>
                <w:szCs w:val="18"/>
              </w:rPr>
              <w:t>Recidivists for the criminal offence of rape</w:t>
            </w:r>
            <w:r w:rsidRPr="00E2464D">
              <w:rPr>
                <w:rFonts w:ascii="Times New Roman" w:eastAsia="Times New Roman" w:hAnsi="Times New Roman" w:cs="Times New Roman"/>
                <w:color w:val="000000"/>
                <w:sz w:val="18"/>
                <w:szCs w:val="18"/>
              </w:rPr>
              <w:t xml:space="preserve"> </w:t>
            </w:r>
          </w:p>
        </w:tc>
        <w:tc>
          <w:tcPr>
            <w:tcW w:w="1257" w:type="dxa"/>
            <w:gridSpan w:val="2"/>
            <w:tcBorders>
              <w:top w:val="single" w:sz="4" w:space="0" w:color="auto"/>
            </w:tcBorders>
          </w:tcPr>
          <w:p w14:paraId="27723FE7"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Total</w:t>
            </w:r>
          </w:p>
        </w:tc>
      </w:tr>
      <w:tr w:rsidR="006438CF" w:rsidRPr="00E2464D" w14:paraId="6E615234" w14:textId="77777777" w:rsidTr="007F3448">
        <w:trPr>
          <w:trHeight w:val="343"/>
        </w:trPr>
        <w:tc>
          <w:tcPr>
            <w:tcW w:w="1995" w:type="dxa"/>
            <w:vMerge/>
            <w:tcBorders>
              <w:bottom w:val="single" w:sz="4" w:space="0" w:color="auto"/>
            </w:tcBorders>
            <w:noWrap/>
            <w:vAlign w:val="center"/>
            <w:hideMark/>
          </w:tcPr>
          <w:p w14:paraId="54241161"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p>
        </w:tc>
        <w:tc>
          <w:tcPr>
            <w:tcW w:w="817" w:type="dxa"/>
            <w:vMerge/>
            <w:tcBorders>
              <w:bottom w:val="single" w:sz="4" w:space="0" w:color="auto"/>
            </w:tcBorders>
            <w:noWrap/>
            <w:vAlign w:val="center"/>
            <w:hideMark/>
          </w:tcPr>
          <w:p w14:paraId="06BB9746" w14:textId="77777777" w:rsidR="00F5334D" w:rsidRPr="00E2464D" w:rsidRDefault="00F5334D" w:rsidP="00A76F24">
            <w:pPr>
              <w:spacing w:after="0" w:line="240" w:lineRule="auto"/>
              <w:jc w:val="both"/>
              <w:rPr>
                <w:rFonts w:ascii="Times New Roman" w:eastAsia="Times New Roman" w:hAnsi="Times New Roman" w:cs="Times New Roman"/>
                <w:sz w:val="18"/>
                <w:szCs w:val="18"/>
              </w:rPr>
            </w:pPr>
          </w:p>
        </w:tc>
        <w:tc>
          <w:tcPr>
            <w:tcW w:w="620" w:type="dxa"/>
            <w:vMerge/>
            <w:tcBorders>
              <w:bottom w:val="single" w:sz="4" w:space="0" w:color="auto"/>
            </w:tcBorders>
            <w:vAlign w:val="center"/>
            <w:hideMark/>
          </w:tcPr>
          <w:p w14:paraId="65A71485"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p>
        </w:tc>
        <w:tc>
          <w:tcPr>
            <w:tcW w:w="540" w:type="dxa"/>
            <w:vMerge/>
            <w:tcBorders>
              <w:bottom w:val="single" w:sz="4" w:space="0" w:color="auto"/>
            </w:tcBorders>
            <w:vAlign w:val="center"/>
            <w:hideMark/>
          </w:tcPr>
          <w:p w14:paraId="55CB2614"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p>
        </w:tc>
        <w:tc>
          <w:tcPr>
            <w:tcW w:w="586" w:type="dxa"/>
            <w:tcBorders>
              <w:bottom w:val="single" w:sz="4" w:space="0" w:color="auto"/>
            </w:tcBorders>
            <w:noWrap/>
            <w:vAlign w:val="center"/>
            <w:hideMark/>
          </w:tcPr>
          <w:p w14:paraId="231B0849" w14:textId="77777777"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p w14:paraId="2C619FE6"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6D80BF74" w14:textId="74EFBE3A" w:rsidR="00A76F24" w:rsidRPr="00E2464D" w:rsidRDefault="00A76F24" w:rsidP="00A76F24">
            <w:pPr>
              <w:spacing w:after="0" w:line="240" w:lineRule="auto"/>
              <w:jc w:val="both"/>
              <w:rPr>
                <w:rFonts w:ascii="Times New Roman" w:eastAsia="Times New Roman" w:hAnsi="Times New Roman" w:cs="Times New Roman"/>
                <w:color w:val="000000"/>
                <w:sz w:val="18"/>
                <w:szCs w:val="18"/>
              </w:rPr>
            </w:pPr>
          </w:p>
        </w:tc>
        <w:tc>
          <w:tcPr>
            <w:tcW w:w="840" w:type="dxa"/>
            <w:tcBorders>
              <w:bottom w:val="single" w:sz="4" w:space="0" w:color="auto"/>
            </w:tcBorders>
            <w:noWrap/>
            <w:vAlign w:val="center"/>
            <w:hideMark/>
          </w:tcPr>
          <w:p w14:paraId="1C0D977B" w14:textId="77777777"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p w14:paraId="1EAC8C1B"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7F3DBE72" w14:textId="4C817D31" w:rsidR="00A76F24" w:rsidRPr="00E2464D" w:rsidRDefault="00A76F24" w:rsidP="00A76F24">
            <w:pPr>
              <w:spacing w:after="0" w:line="240" w:lineRule="auto"/>
              <w:jc w:val="both"/>
              <w:rPr>
                <w:rFonts w:ascii="Times New Roman" w:eastAsia="Times New Roman" w:hAnsi="Times New Roman" w:cs="Times New Roman"/>
                <w:color w:val="000000"/>
                <w:sz w:val="18"/>
                <w:szCs w:val="18"/>
              </w:rPr>
            </w:pPr>
          </w:p>
        </w:tc>
        <w:tc>
          <w:tcPr>
            <w:tcW w:w="486" w:type="dxa"/>
            <w:tcBorders>
              <w:bottom w:val="single" w:sz="4" w:space="0" w:color="auto"/>
            </w:tcBorders>
            <w:noWrap/>
            <w:vAlign w:val="center"/>
            <w:hideMark/>
          </w:tcPr>
          <w:p w14:paraId="644BD78C" w14:textId="77777777"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p w14:paraId="7FE32D69"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7EC01E9C" w14:textId="2B4A0CC1" w:rsidR="006418B4" w:rsidRPr="00E2464D" w:rsidRDefault="006418B4" w:rsidP="00A76F24">
            <w:pPr>
              <w:spacing w:after="0" w:line="240" w:lineRule="auto"/>
              <w:jc w:val="both"/>
              <w:rPr>
                <w:rFonts w:ascii="Times New Roman" w:eastAsia="Times New Roman" w:hAnsi="Times New Roman" w:cs="Times New Roman"/>
                <w:color w:val="000000"/>
                <w:sz w:val="18"/>
                <w:szCs w:val="18"/>
              </w:rPr>
            </w:pPr>
          </w:p>
        </w:tc>
        <w:tc>
          <w:tcPr>
            <w:tcW w:w="1063" w:type="dxa"/>
            <w:tcBorders>
              <w:bottom w:val="single" w:sz="4" w:space="0" w:color="auto"/>
            </w:tcBorders>
            <w:noWrap/>
            <w:vAlign w:val="center"/>
            <w:hideMark/>
          </w:tcPr>
          <w:p w14:paraId="152D22F5" w14:textId="53591B7E"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p w14:paraId="1C80A5E4" w14:textId="34D14E88" w:rsidR="006418B4" w:rsidRDefault="006418B4" w:rsidP="00A76F24">
            <w:pPr>
              <w:spacing w:after="0" w:line="240" w:lineRule="auto"/>
              <w:jc w:val="both"/>
              <w:rPr>
                <w:rFonts w:ascii="Times New Roman" w:eastAsia="Times New Roman" w:hAnsi="Times New Roman" w:cs="Times New Roman"/>
                <w:color w:val="000000"/>
                <w:sz w:val="18"/>
                <w:szCs w:val="18"/>
              </w:rPr>
            </w:pPr>
          </w:p>
          <w:p w14:paraId="2B6348F9" w14:textId="16C2D758" w:rsidR="006418B4" w:rsidRPr="00E2464D" w:rsidRDefault="006418B4" w:rsidP="00A76F24">
            <w:pPr>
              <w:spacing w:after="0" w:line="240" w:lineRule="auto"/>
              <w:jc w:val="both"/>
              <w:rPr>
                <w:rFonts w:ascii="Times New Roman" w:eastAsia="Times New Roman" w:hAnsi="Times New Roman" w:cs="Times New Roman"/>
                <w:color w:val="000000"/>
                <w:sz w:val="18"/>
                <w:szCs w:val="18"/>
              </w:rPr>
            </w:pPr>
          </w:p>
        </w:tc>
        <w:tc>
          <w:tcPr>
            <w:tcW w:w="434" w:type="dxa"/>
            <w:tcBorders>
              <w:bottom w:val="single" w:sz="4" w:space="0" w:color="auto"/>
            </w:tcBorders>
            <w:noWrap/>
            <w:vAlign w:val="center"/>
            <w:hideMark/>
          </w:tcPr>
          <w:p w14:paraId="559BBDD5" w14:textId="77777777"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p w14:paraId="454B3DA2"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1AF34D81" w14:textId="5CA4F9CB" w:rsidR="006418B4" w:rsidRPr="00E2464D" w:rsidRDefault="006418B4" w:rsidP="00A76F24">
            <w:pPr>
              <w:spacing w:after="0" w:line="240" w:lineRule="auto"/>
              <w:jc w:val="both"/>
              <w:rPr>
                <w:rFonts w:ascii="Times New Roman" w:eastAsia="Times New Roman" w:hAnsi="Times New Roman" w:cs="Times New Roman"/>
                <w:color w:val="000000"/>
                <w:sz w:val="18"/>
                <w:szCs w:val="18"/>
              </w:rPr>
            </w:pPr>
          </w:p>
        </w:tc>
        <w:tc>
          <w:tcPr>
            <w:tcW w:w="771" w:type="dxa"/>
            <w:tcBorders>
              <w:bottom w:val="single" w:sz="4" w:space="0" w:color="auto"/>
            </w:tcBorders>
            <w:noWrap/>
            <w:vAlign w:val="center"/>
            <w:hideMark/>
          </w:tcPr>
          <w:p w14:paraId="57119F4C" w14:textId="77777777"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p w14:paraId="682D2A9F"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02F10790" w14:textId="775EF599" w:rsidR="006418B4" w:rsidRPr="00E2464D" w:rsidRDefault="006418B4" w:rsidP="00A76F24">
            <w:pPr>
              <w:spacing w:after="0" w:line="240" w:lineRule="auto"/>
              <w:jc w:val="both"/>
              <w:rPr>
                <w:rFonts w:ascii="Times New Roman" w:eastAsia="Times New Roman" w:hAnsi="Times New Roman" w:cs="Times New Roman"/>
                <w:color w:val="000000"/>
                <w:sz w:val="18"/>
                <w:szCs w:val="18"/>
              </w:rPr>
            </w:pPr>
          </w:p>
        </w:tc>
        <w:tc>
          <w:tcPr>
            <w:tcW w:w="486" w:type="dxa"/>
            <w:tcBorders>
              <w:bottom w:val="single" w:sz="4" w:space="0" w:color="auto"/>
            </w:tcBorders>
          </w:tcPr>
          <w:p w14:paraId="73BBCD8A"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tc>
        <w:tc>
          <w:tcPr>
            <w:tcW w:w="771" w:type="dxa"/>
            <w:tcBorders>
              <w:bottom w:val="single" w:sz="4" w:space="0" w:color="auto"/>
            </w:tcBorders>
          </w:tcPr>
          <w:p w14:paraId="06C92A1D"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tc>
      </w:tr>
      <w:tr w:rsidR="006438CF" w:rsidRPr="00E2464D" w14:paraId="6A0FEAC9" w14:textId="77777777" w:rsidTr="00A76F24">
        <w:trPr>
          <w:trHeight w:val="300"/>
        </w:trPr>
        <w:tc>
          <w:tcPr>
            <w:tcW w:w="1995" w:type="dxa"/>
            <w:vMerge w:val="restart"/>
            <w:tcBorders>
              <w:top w:val="single" w:sz="4" w:space="0" w:color="auto"/>
            </w:tcBorders>
            <w:noWrap/>
            <w:vAlign w:val="center"/>
            <w:hideMark/>
          </w:tcPr>
          <w:p w14:paraId="269B938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Mental </w:t>
            </w:r>
          </w:p>
          <w:p w14:paraId="39772E4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illness</w:t>
            </w:r>
          </w:p>
        </w:tc>
        <w:tc>
          <w:tcPr>
            <w:tcW w:w="817" w:type="dxa"/>
            <w:tcBorders>
              <w:top w:val="single" w:sz="4" w:space="0" w:color="auto"/>
            </w:tcBorders>
            <w:noWrap/>
            <w:vAlign w:val="center"/>
            <w:hideMark/>
          </w:tcPr>
          <w:p w14:paraId="2C3664C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tcBorders>
              <w:top w:val="single" w:sz="4" w:space="0" w:color="auto"/>
            </w:tcBorders>
            <w:noWrap/>
            <w:vAlign w:val="center"/>
            <w:hideMark/>
          </w:tcPr>
          <w:p w14:paraId="3DC4249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2.78</w:t>
            </w:r>
          </w:p>
        </w:tc>
        <w:tc>
          <w:tcPr>
            <w:tcW w:w="540" w:type="dxa"/>
            <w:vMerge w:val="restart"/>
            <w:tcBorders>
              <w:top w:val="single" w:sz="4" w:space="0" w:color="auto"/>
            </w:tcBorders>
            <w:noWrap/>
            <w:vAlign w:val="center"/>
            <w:hideMark/>
          </w:tcPr>
          <w:p w14:paraId="28BCA4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.249</w:t>
            </w:r>
          </w:p>
        </w:tc>
        <w:tc>
          <w:tcPr>
            <w:tcW w:w="586" w:type="dxa"/>
            <w:tcBorders>
              <w:top w:val="single" w:sz="4" w:space="0" w:color="auto"/>
            </w:tcBorders>
            <w:noWrap/>
            <w:vAlign w:val="center"/>
            <w:hideMark/>
          </w:tcPr>
          <w:p w14:paraId="6810CDE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229</w:t>
            </w:r>
          </w:p>
        </w:tc>
        <w:tc>
          <w:tcPr>
            <w:tcW w:w="840" w:type="dxa"/>
            <w:tcBorders>
              <w:top w:val="single" w:sz="4" w:space="0" w:color="auto"/>
            </w:tcBorders>
            <w:noWrap/>
            <w:vAlign w:val="bottom"/>
            <w:hideMark/>
          </w:tcPr>
          <w:p w14:paraId="67B8DA2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83.27%</w:t>
            </w:r>
          </w:p>
        </w:tc>
        <w:tc>
          <w:tcPr>
            <w:tcW w:w="486" w:type="dxa"/>
            <w:tcBorders>
              <w:top w:val="single" w:sz="4" w:space="0" w:color="auto"/>
            </w:tcBorders>
            <w:noWrap/>
            <w:vAlign w:val="center"/>
            <w:hideMark/>
          </w:tcPr>
          <w:p w14:paraId="3996214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89</w:t>
            </w:r>
          </w:p>
        </w:tc>
        <w:tc>
          <w:tcPr>
            <w:tcW w:w="1063" w:type="dxa"/>
            <w:tcBorders>
              <w:top w:val="single" w:sz="4" w:space="0" w:color="auto"/>
            </w:tcBorders>
            <w:noWrap/>
            <w:vAlign w:val="bottom"/>
            <w:hideMark/>
          </w:tcPr>
          <w:p w14:paraId="4F8848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76.07%</w:t>
            </w:r>
          </w:p>
        </w:tc>
        <w:tc>
          <w:tcPr>
            <w:tcW w:w="434" w:type="dxa"/>
            <w:tcBorders>
              <w:top w:val="single" w:sz="4" w:space="0" w:color="auto"/>
            </w:tcBorders>
            <w:noWrap/>
            <w:vAlign w:val="center"/>
            <w:hideMark/>
          </w:tcPr>
          <w:p w14:paraId="3A56670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47</w:t>
            </w:r>
          </w:p>
        </w:tc>
        <w:tc>
          <w:tcPr>
            <w:tcW w:w="771" w:type="dxa"/>
            <w:tcBorders>
              <w:top w:val="single" w:sz="4" w:space="0" w:color="auto"/>
            </w:tcBorders>
            <w:noWrap/>
            <w:vAlign w:val="bottom"/>
            <w:hideMark/>
          </w:tcPr>
          <w:p w14:paraId="1FBA85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81.03%</w:t>
            </w:r>
          </w:p>
        </w:tc>
        <w:tc>
          <w:tcPr>
            <w:tcW w:w="486" w:type="dxa"/>
            <w:tcBorders>
              <w:top w:val="single" w:sz="4" w:space="0" w:color="auto"/>
            </w:tcBorders>
          </w:tcPr>
          <w:p w14:paraId="51A06E2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365</w:t>
            </w:r>
          </w:p>
        </w:tc>
        <w:tc>
          <w:tcPr>
            <w:tcW w:w="771" w:type="dxa"/>
            <w:tcBorders>
              <w:top w:val="single" w:sz="4" w:space="0" w:color="auto"/>
            </w:tcBorders>
          </w:tcPr>
          <w:p w14:paraId="12AF4C5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81.11%</w:t>
            </w:r>
          </w:p>
        </w:tc>
      </w:tr>
      <w:tr w:rsidR="006438CF" w:rsidRPr="00E2464D" w14:paraId="00FEA929" w14:textId="77777777" w:rsidTr="00A76F24">
        <w:trPr>
          <w:trHeight w:val="300"/>
        </w:trPr>
        <w:tc>
          <w:tcPr>
            <w:tcW w:w="1995" w:type="dxa"/>
            <w:vMerge/>
            <w:vAlign w:val="center"/>
            <w:hideMark/>
          </w:tcPr>
          <w:p w14:paraId="7FAF0AA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noWrap/>
            <w:vAlign w:val="center"/>
            <w:hideMark/>
          </w:tcPr>
          <w:p w14:paraId="7939204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1F9936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53D0FCA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noWrap/>
            <w:vAlign w:val="center"/>
            <w:hideMark/>
          </w:tcPr>
          <w:p w14:paraId="13786CE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46</w:t>
            </w:r>
          </w:p>
        </w:tc>
        <w:tc>
          <w:tcPr>
            <w:tcW w:w="840" w:type="dxa"/>
            <w:noWrap/>
            <w:vAlign w:val="bottom"/>
            <w:hideMark/>
          </w:tcPr>
          <w:p w14:paraId="0DF7A20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16.73%</w:t>
            </w:r>
          </w:p>
        </w:tc>
        <w:tc>
          <w:tcPr>
            <w:tcW w:w="486" w:type="dxa"/>
            <w:noWrap/>
            <w:vAlign w:val="center"/>
            <w:hideMark/>
          </w:tcPr>
          <w:p w14:paraId="700FCFE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28</w:t>
            </w:r>
          </w:p>
        </w:tc>
        <w:tc>
          <w:tcPr>
            <w:tcW w:w="1063" w:type="dxa"/>
            <w:noWrap/>
            <w:vAlign w:val="bottom"/>
            <w:hideMark/>
          </w:tcPr>
          <w:p w14:paraId="29A746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23.93%</w:t>
            </w:r>
          </w:p>
        </w:tc>
        <w:tc>
          <w:tcPr>
            <w:tcW w:w="434" w:type="dxa"/>
            <w:noWrap/>
            <w:vAlign w:val="center"/>
            <w:hideMark/>
          </w:tcPr>
          <w:p w14:paraId="1148934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771" w:type="dxa"/>
            <w:noWrap/>
            <w:vAlign w:val="bottom"/>
            <w:hideMark/>
          </w:tcPr>
          <w:p w14:paraId="2846475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18.97%</w:t>
            </w:r>
          </w:p>
        </w:tc>
        <w:tc>
          <w:tcPr>
            <w:tcW w:w="486" w:type="dxa"/>
          </w:tcPr>
          <w:p w14:paraId="2B2C5BF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85</w:t>
            </w:r>
          </w:p>
        </w:tc>
        <w:tc>
          <w:tcPr>
            <w:tcW w:w="771" w:type="dxa"/>
          </w:tcPr>
          <w:p w14:paraId="5FD1719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18.89%</w:t>
            </w:r>
          </w:p>
        </w:tc>
      </w:tr>
      <w:tr w:rsidR="006438CF" w:rsidRPr="00E2464D" w14:paraId="2EAF7435" w14:textId="77777777" w:rsidTr="00A76F24">
        <w:trPr>
          <w:trHeight w:val="300"/>
        </w:trPr>
        <w:tc>
          <w:tcPr>
            <w:tcW w:w="1995" w:type="dxa"/>
            <w:vMerge w:val="restart"/>
            <w:shd w:val="clear" w:color="auto" w:fill="D9D9D9" w:themeFill="background1" w:themeFillShade="D9"/>
            <w:noWrap/>
            <w:vAlign w:val="center"/>
            <w:hideMark/>
          </w:tcPr>
          <w:p w14:paraId="44AC496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Personality </w:t>
            </w:r>
          </w:p>
          <w:p w14:paraId="208A025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disorders</w:t>
            </w:r>
          </w:p>
        </w:tc>
        <w:tc>
          <w:tcPr>
            <w:tcW w:w="817" w:type="dxa"/>
            <w:shd w:val="clear" w:color="auto" w:fill="D9D9D9" w:themeFill="background1" w:themeFillShade="D9"/>
            <w:noWrap/>
            <w:vAlign w:val="center"/>
            <w:hideMark/>
          </w:tcPr>
          <w:p w14:paraId="6989835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shd w:val="clear" w:color="auto" w:fill="D9D9D9" w:themeFill="background1" w:themeFillShade="D9"/>
            <w:noWrap/>
            <w:vAlign w:val="center"/>
            <w:hideMark/>
          </w:tcPr>
          <w:p w14:paraId="5B7FE35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24.56</w:t>
            </w:r>
          </w:p>
        </w:tc>
        <w:tc>
          <w:tcPr>
            <w:tcW w:w="540" w:type="dxa"/>
            <w:vMerge w:val="restart"/>
            <w:shd w:val="clear" w:color="auto" w:fill="D9D9D9" w:themeFill="background1" w:themeFillShade="D9"/>
            <w:noWrap/>
            <w:vAlign w:val="center"/>
            <w:hideMark/>
          </w:tcPr>
          <w:p w14:paraId="54405DE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.000</w:t>
            </w:r>
          </w:p>
        </w:tc>
        <w:tc>
          <w:tcPr>
            <w:tcW w:w="586" w:type="dxa"/>
            <w:shd w:val="clear" w:color="auto" w:fill="D9D9D9" w:themeFill="background1" w:themeFillShade="D9"/>
            <w:noWrap/>
            <w:vAlign w:val="center"/>
            <w:hideMark/>
          </w:tcPr>
          <w:p w14:paraId="44608CE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222</w:t>
            </w:r>
          </w:p>
        </w:tc>
        <w:tc>
          <w:tcPr>
            <w:tcW w:w="840" w:type="dxa"/>
            <w:shd w:val="clear" w:color="auto" w:fill="D9D9D9" w:themeFill="background1" w:themeFillShade="D9"/>
            <w:noWrap/>
            <w:vAlign w:val="bottom"/>
            <w:hideMark/>
          </w:tcPr>
          <w:p w14:paraId="470AC6D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80.14%</w:t>
            </w:r>
          </w:p>
        </w:tc>
        <w:tc>
          <w:tcPr>
            <w:tcW w:w="486" w:type="dxa"/>
            <w:shd w:val="clear" w:color="auto" w:fill="D9D9D9" w:themeFill="background1" w:themeFillShade="D9"/>
            <w:noWrap/>
            <w:vAlign w:val="center"/>
            <w:hideMark/>
          </w:tcPr>
          <w:p w14:paraId="037B448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65</w:t>
            </w:r>
          </w:p>
        </w:tc>
        <w:tc>
          <w:tcPr>
            <w:tcW w:w="1063" w:type="dxa"/>
            <w:shd w:val="clear" w:color="auto" w:fill="D9D9D9" w:themeFill="background1" w:themeFillShade="D9"/>
            <w:noWrap/>
            <w:vAlign w:val="bottom"/>
            <w:hideMark/>
          </w:tcPr>
          <w:p w14:paraId="2AFFE24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56.03%</w:t>
            </w:r>
          </w:p>
        </w:tc>
        <w:tc>
          <w:tcPr>
            <w:tcW w:w="434" w:type="dxa"/>
            <w:shd w:val="clear" w:color="auto" w:fill="D9D9D9" w:themeFill="background1" w:themeFillShade="D9"/>
            <w:noWrap/>
            <w:vAlign w:val="center"/>
            <w:hideMark/>
          </w:tcPr>
          <w:p w14:paraId="3597A5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39</w:t>
            </w:r>
          </w:p>
        </w:tc>
        <w:tc>
          <w:tcPr>
            <w:tcW w:w="771" w:type="dxa"/>
            <w:shd w:val="clear" w:color="auto" w:fill="D9D9D9" w:themeFill="background1" w:themeFillShade="D9"/>
            <w:noWrap/>
            <w:vAlign w:val="bottom"/>
            <w:hideMark/>
          </w:tcPr>
          <w:p w14:paraId="15C1F4D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67.24%</w:t>
            </w:r>
          </w:p>
        </w:tc>
        <w:tc>
          <w:tcPr>
            <w:tcW w:w="486" w:type="dxa"/>
            <w:shd w:val="clear" w:color="auto" w:fill="D9D9D9" w:themeFill="background1" w:themeFillShade="D9"/>
          </w:tcPr>
          <w:p w14:paraId="4CDB67E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326</w:t>
            </w:r>
          </w:p>
        </w:tc>
        <w:tc>
          <w:tcPr>
            <w:tcW w:w="771" w:type="dxa"/>
            <w:shd w:val="clear" w:color="auto" w:fill="D9D9D9" w:themeFill="background1" w:themeFillShade="D9"/>
          </w:tcPr>
          <w:p w14:paraId="182DC37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72.28%</w:t>
            </w:r>
          </w:p>
        </w:tc>
      </w:tr>
      <w:tr w:rsidR="006438CF" w:rsidRPr="00E2464D" w14:paraId="15733C73" w14:textId="77777777" w:rsidTr="00A76F24">
        <w:trPr>
          <w:trHeight w:val="300"/>
        </w:trPr>
        <w:tc>
          <w:tcPr>
            <w:tcW w:w="1995" w:type="dxa"/>
            <w:vMerge/>
            <w:shd w:val="clear" w:color="auto" w:fill="D9D9D9" w:themeFill="background1" w:themeFillShade="D9"/>
            <w:vAlign w:val="center"/>
            <w:hideMark/>
          </w:tcPr>
          <w:p w14:paraId="1C09EAE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shd w:val="clear" w:color="auto" w:fill="D9D9D9" w:themeFill="background1" w:themeFillShade="D9"/>
            <w:noWrap/>
            <w:vAlign w:val="center"/>
            <w:hideMark/>
          </w:tcPr>
          <w:p w14:paraId="438544A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shd w:val="clear" w:color="auto" w:fill="D9D9D9" w:themeFill="background1" w:themeFillShade="D9"/>
            <w:vAlign w:val="center"/>
            <w:hideMark/>
          </w:tcPr>
          <w:p w14:paraId="6AA6D4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shd w:val="clear" w:color="auto" w:fill="D9D9D9" w:themeFill="background1" w:themeFillShade="D9"/>
            <w:vAlign w:val="center"/>
            <w:hideMark/>
          </w:tcPr>
          <w:p w14:paraId="1D401BB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shd w:val="clear" w:color="auto" w:fill="D9D9D9" w:themeFill="background1" w:themeFillShade="D9"/>
            <w:noWrap/>
            <w:vAlign w:val="center"/>
            <w:hideMark/>
          </w:tcPr>
          <w:p w14:paraId="3F740CA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55</w:t>
            </w:r>
          </w:p>
        </w:tc>
        <w:tc>
          <w:tcPr>
            <w:tcW w:w="840" w:type="dxa"/>
            <w:shd w:val="clear" w:color="auto" w:fill="D9D9D9" w:themeFill="background1" w:themeFillShade="D9"/>
            <w:noWrap/>
            <w:vAlign w:val="bottom"/>
            <w:hideMark/>
          </w:tcPr>
          <w:p w14:paraId="62154B7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19.86%</w:t>
            </w:r>
          </w:p>
        </w:tc>
        <w:tc>
          <w:tcPr>
            <w:tcW w:w="486" w:type="dxa"/>
            <w:shd w:val="clear" w:color="auto" w:fill="D9D9D9" w:themeFill="background1" w:themeFillShade="D9"/>
            <w:noWrap/>
            <w:vAlign w:val="center"/>
            <w:hideMark/>
          </w:tcPr>
          <w:p w14:paraId="65FCD8F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w:t>
            </w:r>
          </w:p>
        </w:tc>
        <w:tc>
          <w:tcPr>
            <w:tcW w:w="1063" w:type="dxa"/>
            <w:shd w:val="clear" w:color="auto" w:fill="D9D9D9" w:themeFill="background1" w:themeFillShade="D9"/>
            <w:noWrap/>
            <w:vAlign w:val="bottom"/>
            <w:hideMark/>
          </w:tcPr>
          <w:p w14:paraId="301B5EA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43.97%</w:t>
            </w:r>
          </w:p>
        </w:tc>
        <w:tc>
          <w:tcPr>
            <w:tcW w:w="434" w:type="dxa"/>
            <w:shd w:val="clear" w:color="auto" w:fill="D9D9D9" w:themeFill="background1" w:themeFillShade="D9"/>
            <w:noWrap/>
            <w:vAlign w:val="center"/>
            <w:hideMark/>
          </w:tcPr>
          <w:p w14:paraId="250C1D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19</w:t>
            </w:r>
          </w:p>
        </w:tc>
        <w:tc>
          <w:tcPr>
            <w:tcW w:w="771" w:type="dxa"/>
            <w:shd w:val="clear" w:color="auto" w:fill="D9D9D9" w:themeFill="background1" w:themeFillShade="D9"/>
            <w:noWrap/>
            <w:vAlign w:val="bottom"/>
            <w:hideMark/>
          </w:tcPr>
          <w:p w14:paraId="5CE198C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32.76%</w:t>
            </w:r>
          </w:p>
        </w:tc>
        <w:tc>
          <w:tcPr>
            <w:tcW w:w="486" w:type="dxa"/>
            <w:shd w:val="clear" w:color="auto" w:fill="D9D9D9" w:themeFill="background1" w:themeFillShade="D9"/>
          </w:tcPr>
          <w:p w14:paraId="55AEAB5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125</w:t>
            </w:r>
          </w:p>
        </w:tc>
        <w:tc>
          <w:tcPr>
            <w:tcW w:w="771" w:type="dxa"/>
            <w:shd w:val="clear" w:color="auto" w:fill="D9D9D9" w:themeFill="background1" w:themeFillShade="D9"/>
          </w:tcPr>
          <w:p w14:paraId="28EFE00E"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27.72%</w:t>
            </w:r>
          </w:p>
        </w:tc>
      </w:tr>
      <w:tr w:rsidR="006438CF" w:rsidRPr="00E2464D" w14:paraId="6B4FB3D3" w14:textId="77777777" w:rsidTr="00A76F24">
        <w:trPr>
          <w:trHeight w:val="300"/>
        </w:trPr>
        <w:tc>
          <w:tcPr>
            <w:tcW w:w="1995" w:type="dxa"/>
            <w:vMerge w:val="restart"/>
            <w:noWrap/>
            <w:vAlign w:val="center"/>
            <w:hideMark/>
          </w:tcPr>
          <w:p w14:paraId="00E2C69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Alcohol-related </w:t>
            </w:r>
          </w:p>
          <w:p w14:paraId="16E88AC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problems</w:t>
            </w:r>
          </w:p>
        </w:tc>
        <w:tc>
          <w:tcPr>
            <w:tcW w:w="817" w:type="dxa"/>
            <w:noWrap/>
            <w:vAlign w:val="center"/>
            <w:hideMark/>
          </w:tcPr>
          <w:p w14:paraId="7220056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noWrap/>
            <w:vAlign w:val="center"/>
            <w:hideMark/>
          </w:tcPr>
          <w:p w14:paraId="517C05F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.18</w:t>
            </w:r>
          </w:p>
        </w:tc>
        <w:tc>
          <w:tcPr>
            <w:tcW w:w="540" w:type="dxa"/>
            <w:vMerge w:val="restart"/>
            <w:noWrap/>
            <w:vAlign w:val="center"/>
            <w:hideMark/>
          </w:tcPr>
          <w:p w14:paraId="1DFE9AB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.913</w:t>
            </w:r>
          </w:p>
        </w:tc>
        <w:tc>
          <w:tcPr>
            <w:tcW w:w="586" w:type="dxa"/>
            <w:noWrap/>
            <w:vAlign w:val="center"/>
            <w:hideMark/>
          </w:tcPr>
          <w:p w14:paraId="4B83511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183</w:t>
            </w:r>
          </w:p>
        </w:tc>
        <w:tc>
          <w:tcPr>
            <w:tcW w:w="840" w:type="dxa"/>
            <w:noWrap/>
            <w:vAlign w:val="bottom"/>
            <w:hideMark/>
          </w:tcPr>
          <w:p w14:paraId="07CA2EE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66.30%</w:t>
            </w:r>
          </w:p>
        </w:tc>
        <w:tc>
          <w:tcPr>
            <w:tcW w:w="486" w:type="dxa"/>
            <w:noWrap/>
            <w:vAlign w:val="center"/>
            <w:hideMark/>
          </w:tcPr>
          <w:p w14:paraId="7275339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75</w:t>
            </w:r>
          </w:p>
        </w:tc>
        <w:tc>
          <w:tcPr>
            <w:tcW w:w="1063" w:type="dxa"/>
            <w:noWrap/>
            <w:vAlign w:val="bottom"/>
            <w:hideMark/>
          </w:tcPr>
          <w:p w14:paraId="15484CF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64.10%</w:t>
            </w:r>
          </w:p>
        </w:tc>
        <w:tc>
          <w:tcPr>
            <w:tcW w:w="434" w:type="dxa"/>
            <w:noWrap/>
            <w:vAlign w:val="center"/>
            <w:hideMark/>
          </w:tcPr>
          <w:p w14:paraId="11BD93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39</w:t>
            </w:r>
          </w:p>
        </w:tc>
        <w:tc>
          <w:tcPr>
            <w:tcW w:w="771" w:type="dxa"/>
            <w:noWrap/>
            <w:vAlign w:val="bottom"/>
            <w:hideMark/>
          </w:tcPr>
          <w:p w14:paraId="30CA7B3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66.10%</w:t>
            </w:r>
          </w:p>
        </w:tc>
        <w:tc>
          <w:tcPr>
            <w:tcW w:w="486" w:type="dxa"/>
          </w:tcPr>
          <w:p w14:paraId="62E614E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297</w:t>
            </w:r>
          </w:p>
        </w:tc>
        <w:tc>
          <w:tcPr>
            <w:tcW w:w="771" w:type="dxa"/>
          </w:tcPr>
          <w:p w14:paraId="2FBC713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65.71%</w:t>
            </w:r>
          </w:p>
        </w:tc>
      </w:tr>
      <w:tr w:rsidR="006438CF" w:rsidRPr="00E2464D" w14:paraId="39C7E159" w14:textId="77777777" w:rsidTr="00A76F24">
        <w:trPr>
          <w:trHeight w:val="300"/>
        </w:trPr>
        <w:tc>
          <w:tcPr>
            <w:tcW w:w="1995" w:type="dxa"/>
            <w:vMerge/>
            <w:vAlign w:val="center"/>
            <w:hideMark/>
          </w:tcPr>
          <w:p w14:paraId="6BB2A0F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noWrap/>
            <w:vAlign w:val="center"/>
            <w:hideMark/>
          </w:tcPr>
          <w:p w14:paraId="3ED6BCC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4F1551B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7FEDE7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noWrap/>
            <w:vAlign w:val="center"/>
            <w:hideMark/>
          </w:tcPr>
          <w:p w14:paraId="64D12EC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93</w:t>
            </w:r>
          </w:p>
        </w:tc>
        <w:tc>
          <w:tcPr>
            <w:tcW w:w="840" w:type="dxa"/>
            <w:noWrap/>
            <w:vAlign w:val="bottom"/>
            <w:hideMark/>
          </w:tcPr>
          <w:p w14:paraId="47FD56D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33.70%</w:t>
            </w:r>
          </w:p>
        </w:tc>
        <w:tc>
          <w:tcPr>
            <w:tcW w:w="486" w:type="dxa"/>
            <w:noWrap/>
            <w:vAlign w:val="center"/>
            <w:hideMark/>
          </w:tcPr>
          <w:p w14:paraId="5CF99DA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42</w:t>
            </w:r>
          </w:p>
        </w:tc>
        <w:tc>
          <w:tcPr>
            <w:tcW w:w="1063" w:type="dxa"/>
            <w:noWrap/>
            <w:vAlign w:val="bottom"/>
            <w:hideMark/>
          </w:tcPr>
          <w:p w14:paraId="6F21A27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35.90%</w:t>
            </w:r>
          </w:p>
        </w:tc>
        <w:tc>
          <w:tcPr>
            <w:tcW w:w="434" w:type="dxa"/>
            <w:noWrap/>
            <w:vAlign w:val="center"/>
            <w:hideMark/>
          </w:tcPr>
          <w:p w14:paraId="7862EC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20</w:t>
            </w:r>
          </w:p>
        </w:tc>
        <w:tc>
          <w:tcPr>
            <w:tcW w:w="771" w:type="dxa"/>
            <w:noWrap/>
            <w:vAlign w:val="bottom"/>
            <w:hideMark/>
          </w:tcPr>
          <w:p w14:paraId="0617BD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33.90%</w:t>
            </w:r>
          </w:p>
        </w:tc>
        <w:tc>
          <w:tcPr>
            <w:tcW w:w="486" w:type="dxa"/>
          </w:tcPr>
          <w:p w14:paraId="57D71AB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155</w:t>
            </w:r>
          </w:p>
        </w:tc>
        <w:tc>
          <w:tcPr>
            <w:tcW w:w="771" w:type="dxa"/>
          </w:tcPr>
          <w:p w14:paraId="722969A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34.29%</w:t>
            </w:r>
          </w:p>
        </w:tc>
      </w:tr>
      <w:tr w:rsidR="006438CF" w:rsidRPr="00E2464D" w14:paraId="2AF51EFA" w14:textId="77777777" w:rsidTr="00A76F24">
        <w:trPr>
          <w:trHeight w:val="300"/>
        </w:trPr>
        <w:tc>
          <w:tcPr>
            <w:tcW w:w="1995" w:type="dxa"/>
            <w:vMerge w:val="restart"/>
            <w:noWrap/>
            <w:vAlign w:val="center"/>
            <w:hideMark/>
          </w:tcPr>
          <w:p w14:paraId="441CE28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Psychoactive substance-</w:t>
            </w:r>
          </w:p>
          <w:p w14:paraId="232B55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related problems</w:t>
            </w:r>
          </w:p>
        </w:tc>
        <w:tc>
          <w:tcPr>
            <w:tcW w:w="817" w:type="dxa"/>
            <w:noWrap/>
            <w:vAlign w:val="center"/>
            <w:hideMark/>
          </w:tcPr>
          <w:p w14:paraId="506983F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noWrap/>
            <w:vAlign w:val="center"/>
            <w:hideMark/>
          </w:tcPr>
          <w:p w14:paraId="7AF7C0A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1.33</w:t>
            </w:r>
          </w:p>
        </w:tc>
        <w:tc>
          <w:tcPr>
            <w:tcW w:w="540" w:type="dxa"/>
            <w:vMerge w:val="restart"/>
            <w:noWrap/>
            <w:vAlign w:val="center"/>
            <w:hideMark/>
          </w:tcPr>
          <w:p w14:paraId="0DA72D3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.514</w:t>
            </w:r>
          </w:p>
        </w:tc>
        <w:tc>
          <w:tcPr>
            <w:tcW w:w="586" w:type="dxa"/>
            <w:noWrap/>
            <w:vAlign w:val="center"/>
            <w:hideMark/>
          </w:tcPr>
          <w:p w14:paraId="617EBA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240</w:t>
            </w:r>
          </w:p>
        </w:tc>
        <w:tc>
          <w:tcPr>
            <w:tcW w:w="840" w:type="dxa"/>
            <w:noWrap/>
            <w:vAlign w:val="bottom"/>
            <w:hideMark/>
          </w:tcPr>
          <w:p w14:paraId="55B63B7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86.33%</w:t>
            </w:r>
          </w:p>
        </w:tc>
        <w:tc>
          <w:tcPr>
            <w:tcW w:w="486" w:type="dxa"/>
            <w:noWrap/>
            <w:vAlign w:val="center"/>
            <w:hideMark/>
          </w:tcPr>
          <w:p w14:paraId="4B14B4D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96</w:t>
            </w:r>
          </w:p>
        </w:tc>
        <w:tc>
          <w:tcPr>
            <w:tcW w:w="1063" w:type="dxa"/>
            <w:noWrap/>
            <w:vAlign w:val="bottom"/>
            <w:hideMark/>
          </w:tcPr>
          <w:p w14:paraId="7469E60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82.05%</w:t>
            </w:r>
          </w:p>
        </w:tc>
        <w:tc>
          <w:tcPr>
            <w:tcW w:w="434" w:type="dxa"/>
            <w:noWrap/>
            <w:vAlign w:val="center"/>
            <w:hideMark/>
          </w:tcPr>
          <w:p w14:paraId="1DA9AF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49</w:t>
            </w:r>
          </w:p>
        </w:tc>
        <w:tc>
          <w:tcPr>
            <w:tcW w:w="771" w:type="dxa"/>
            <w:noWrap/>
            <w:vAlign w:val="bottom"/>
            <w:hideMark/>
          </w:tcPr>
          <w:p w14:paraId="11AC39F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83.05%</w:t>
            </w:r>
          </w:p>
        </w:tc>
        <w:tc>
          <w:tcPr>
            <w:tcW w:w="486" w:type="dxa"/>
          </w:tcPr>
          <w:p w14:paraId="1739A3B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385</w:t>
            </w:r>
          </w:p>
        </w:tc>
        <w:tc>
          <w:tcPr>
            <w:tcW w:w="771" w:type="dxa"/>
          </w:tcPr>
          <w:p w14:paraId="19494552"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84.80%</w:t>
            </w:r>
          </w:p>
        </w:tc>
      </w:tr>
      <w:tr w:rsidR="006438CF" w:rsidRPr="00E2464D" w14:paraId="630F1FE3" w14:textId="77777777" w:rsidTr="00A76F24">
        <w:trPr>
          <w:trHeight w:val="300"/>
        </w:trPr>
        <w:tc>
          <w:tcPr>
            <w:tcW w:w="1995" w:type="dxa"/>
            <w:vMerge/>
            <w:vAlign w:val="center"/>
            <w:hideMark/>
          </w:tcPr>
          <w:p w14:paraId="18B21B8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noWrap/>
            <w:vAlign w:val="center"/>
            <w:hideMark/>
          </w:tcPr>
          <w:p w14:paraId="03D731E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71A1802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5BBDEB8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noWrap/>
            <w:vAlign w:val="center"/>
            <w:hideMark/>
          </w:tcPr>
          <w:p w14:paraId="2000623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38</w:t>
            </w:r>
          </w:p>
        </w:tc>
        <w:tc>
          <w:tcPr>
            <w:tcW w:w="840" w:type="dxa"/>
            <w:noWrap/>
            <w:vAlign w:val="bottom"/>
            <w:hideMark/>
          </w:tcPr>
          <w:p w14:paraId="49C5CF1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13.67%</w:t>
            </w:r>
          </w:p>
        </w:tc>
        <w:tc>
          <w:tcPr>
            <w:tcW w:w="486" w:type="dxa"/>
            <w:noWrap/>
            <w:vAlign w:val="center"/>
            <w:hideMark/>
          </w:tcPr>
          <w:p w14:paraId="44A5CA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21</w:t>
            </w:r>
          </w:p>
        </w:tc>
        <w:tc>
          <w:tcPr>
            <w:tcW w:w="1063" w:type="dxa"/>
            <w:noWrap/>
            <w:vAlign w:val="bottom"/>
            <w:hideMark/>
          </w:tcPr>
          <w:p w14:paraId="275AEA8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17.95%</w:t>
            </w:r>
          </w:p>
        </w:tc>
        <w:tc>
          <w:tcPr>
            <w:tcW w:w="434" w:type="dxa"/>
            <w:noWrap/>
            <w:vAlign w:val="center"/>
            <w:hideMark/>
          </w:tcPr>
          <w:p w14:paraId="65E378A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10</w:t>
            </w:r>
          </w:p>
        </w:tc>
        <w:tc>
          <w:tcPr>
            <w:tcW w:w="771" w:type="dxa"/>
            <w:noWrap/>
            <w:vAlign w:val="bottom"/>
            <w:hideMark/>
          </w:tcPr>
          <w:p w14:paraId="6297BEE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16.95%</w:t>
            </w:r>
          </w:p>
        </w:tc>
        <w:tc>
          <w:tcPr>
            <w:tcW w:w="486" w:type="dxa"/>
          </w:tcPr>
          <w:p w14:paraId="7283C53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69</w:t>
            </w:r>
          </w:p>
        </w:tc>
        <w:tc>
          <w:tcPr>
            <w:tcW w:w="771" w:type="dxa"/>
          </w:tcPr>
          <w:p w14:paraId="443291C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15.20%</w:t>
            </w:r>
          </w:p>
        </w:tc>
      </w:tr>
      <w:tr w:rsidR="006438CF" w:rsidRPr="00E2464D" w14:paraId="521D7D0E" w14:textId="77777777" w:rsidTr="00A76F24">
        <w:trPr>
          <w:trHeight w:val="300"/>
        </w:trPr>
        <w:tc>
          <w:tcPr>
            <w:tcW w:w="1995" w:type="dxa"/>
            <w:vMerge w:val="restart"/>
            <w:noWrap/>
            <w:vAlign w:val="center"/>
            <w:hideMark/>
          </w:tcPr>
          <w:p w14:paraId="564721D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Standard rehabilitation </w:t>
            </w:r>
          </w:p>
          <w:p w14:paraId="01E99E1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program</w:t>
            </w:r>
          </w:p>
        </w:tc>
        <w:tc>
          <w:tcPr>
            <w:tcW w:w="817" w:type="dxa"/>
            <w:noWrap/>
            <w:vAlign w:val="center"/>
            <w:hideMark/>
          </w:tcPr>
          <w:p w14:paraId="7A632E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noWrap/>
            <w:vAlign w:val="center"/>
            <w:hideMark/>
          </w:tcPr>
          <w:p w14:paraId="49F6038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2.65</w:t>
            </w:r>
          </w:p>
        </w:tc>
        <w:tc>
          <w:tcPr>
            <w:tcW w:w="540" w:type="dxa"/>
            <w:vMerge w:val="restart"/>
            <w:noWrap/>
            <w:vAlign w:val="center"/>
            <w:hideMark/>
          </w:tcPr>
          <w:p w14:paraId="7DF2DBF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.265</w:t>
            </w:r>
          </w:p>
        </w:tc>
        <w:tc>
          <w:tcPr>
            <w:tcW w:w="586" w:type="dxa"/>
            <w:noWrap/>
            <w:vAlign w:val="center"/>
            <w:hideMark/>
          </w:tcPr>
          <w:p w14:paraId="68ED5ED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131</w:t>
            </w:r>
          </w:p>
        </w:tc>
        <w:tc>
          <w:tcPr>
            <w:tcW w:w="840" w:type="dxa"/>
            <w:noWrap/>
            <w:vAlign w:val="bottom"/>
            <w:hideMark/>
          </w:tcPr>
          <w:p w14:paraId="755CE66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40.43%</w:t>
            </w:r>
          </w:p>
        </w:tc>
        <w:tc>
          <w:tcPr>
            <w:tcW w:w="486" w:type="dxa"/>
            <w:noWrap/>
            <w:vAlign w:val="center"/>
            <w:hideMark/>
          </w:tcPr>
          <w:p w14:paraId="07FEE38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52</w:t>
            </w:r>
          </w:p>
        </w:tc>
        <w:tc>
          <w:tcPr>
            <w:tcW w:w="1063" w:type="dxa"/>
            <w:noWrap/>
            <w:vAlign w:val="bottom"/>
            <w:hideMark/>
          </w:tcPr>
          <w:p w14:paraId="586B157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38.52%</w:t>
            </w:r>
          </w:p>
        </w:tc>
        <w:tc>
          <w:tcPr>
            <w:tcW w:w="434" w:type="dxa"/>
            <w:noWrap/>
            <w:vAlign w:val="center"/>
            <w:hideMark/>
          </w:tcPr>
          <w:p w14:paraId="1F247B1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34</w:t>
            </w:r>
          </w:p>
        </w:tc>
        <w:tc>
          <w:tcPr>
            <w:tcW w:w="771" w:type="dxa"/>
            <w:noWrap/>
            <w:vAlign w:val="bottom"/>
            <w:hideMark/>
          </w:tcPr>
          <w:p w14:paraId="5593B01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50.00%</w:t>
            </w:r>
          </w:p>
        </w:tc>
        <w:tc>
          <w:tcPr>
            <w:tcW w:w="486" w:type="dxa"/>
          </w:tcPr>
          <w:p w14:paraId="1DD686A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217</w:t>
            </w:r>
          </w:p>
        </w:tc>
        <w:tc>
          <w:tcPr>
            <w:tcW w:w="771" w:type="dxa"/>
          </w:tcPr>
          <w:p w14:paraId="49F8353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41.18%</w:t>
            </w:r>
          </w:p>
        </w:tc>
      </w:tr>
      <w:tr w:rsidR="006438CF" w:rsidRPr="00E2464D" w14:paraId="7099C286" w14:textId="77777777" w:rsidTr="00A76F24">
        <w:trPr>
          <w:trHeight w:val="300"/>
        </w:trPr>
        <w:tc>
          <w:tcPr>
            <w:tcW w:w="1995" w:type="dxa"/>
            <w:vMerge/>
            <w:vAlign w:val="center"/>
            <w:hideMark/>
          </w:tcPr>
          <w:p w14:paraId="50535D4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noWrap/>
            <w:vAlign w:val="center"/>
            <w:hideMark/>
          </w:tcPr>
          <w:p w14:paraId="292E227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69EC24F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2353D2E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noWrap/>
            <w:vAlign w:val="center"/>
            <w:hideMark/>
          </w:tcPr>
          <w:p w14:paraId="61CDDAD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193</w:t>
            </w:r>
          </w:p>
        </w:tc>
        <w:tc>
          <w:tcPr>
            <w:tcW w:w="840" w:type="dxa"/>
            <w:noWrap/>
            <w:vAlign w:val="bottom"/>
            <w:hideMark/>
          </w:tcPr>
          <w:p w14:paraId="3150CFB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59.57%</w:t>
            </w:r>
          </w:p>
        </w:tc>
        <w:tc>
          <w:tcPr>
            <w:tcW w:w="486" w:type="dxa"/>
            <w:noWrap/>
            <w:vAlign w:val="center"/>
            <w:hideMark/>
          </w:tcPr>
          <w:p w14:paraId="043E152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83</w:t>
            </w:r>
          </w:p>
        </w:tc>
        <w:tc>
          <w:tcPr>
            <w:tcW w:w="1063" w:type="dxa"/>
            <w:noWrap/>
            <w:vAlign w:val="bottom"/>
            <w:hideMark/>
          </w:tcPr>
          <w:p w14:paraId="5CBF037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61.48%</w:t>
            </w:r>
          </w:p>
        </w:tc>
        <w:tc>
          <w:tcPr>
            <w:tcW w:w="434" w:type="dxa"/>
            <w:noWrap/>
            <w:vAlign w:val="center"/>
            <w:hideMark/>
          </w:tcPr>
          <w:p w14:paraId="26F4B4D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34</w:t>
            </w:r>
          </w:p>
        </w:tc>
        <w:tc>
          <w:tcPr>
            <w:tcW w:w="771" w:type="dxa"/>
            <w:noWrap/>
            <w:vAlign w:val="bottom"/>
            <w:hideMark/>
          </w:tcPr>
          <w:p w14:paraId="14CA4FF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50.00%</w:t>
            </w:r>
          </w:p>
        </w:tc>
        <w:tc>
          <w:tcPr>
            <w:tcW w:w="486" w:type="dxa"/>
          </w:tcPr>
          <w:p w14:paraId="306A382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310</w:t>
            </w:r>
          </w:p>
        </w:tc>
        <w:tc>
          <w:tcPr>
            <w:tcW w:w="771" w:type="dxa"/>
          </w:tcPr>
          <w:p w14:paraId="75F91B5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58.82%</w:t>
            </w:r>
          </w:p>
        </w:tc>
      </w:tr>
      <w:tr w:rsidR="006438CF" w:rsidRPr="00E2464D" w14:paraId="774BE0F4" w14:textId="77777777" w:rsidTr="00A76F24">
        <w:trPr>
          <w:trHeight w:val="300"/>
        </w:trPr>
        <w:tc>
          <w:tcPr>
            <w:tcW w:w="1995" w:type="dxa"/>
            <w:vMerge w:val="restart"/>
            <w:shd w:val="clear" w:color="auto" w:fill="D9D9D9" w:themeFill="background1" w:themeFillShade="D9"/>
            <w:noWrap/>
            <w:vAlign w:val="center"/>
            <w:hideMark/>
          </w:tcPr>
          <w:p w14:paraId="55C86F4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Specialized rehabilitation </w:t>
            </w:r>
          </w:p>
          <w:p w14:paraId="05613C6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program</w:t>
            </w:r>
          </w:p>
        </w:tc>
        <w:tc>
          <w:tcPr>
            <w:tcW w:w="817" w:type="dxa"/>
            <w:shd w:val="clear" w:color="auto" w:fill="D9D9D9" w:themeFill="background1" w:themeFillShade="D9"/>
            <w:noWrap/>
            <w:vAlign w:val="center"/>
            <w:hideMark/>
          </w:tcPr>
          <w:p w14:paraId="7E57E85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shd w:val="clear" w:color="auto" w:fill="D9D9D9" w:themeFill="background1" w:themeFillShade="D9"/>
            <w:noWrap/>
            <w:vAlign w:val="center"/>
            <w:hideMark/>
          </w:tcPr>
          <w:p w14:paraId="0D78CA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15.06</w:t>
            </w:r>
          </w:p>
        </w:tc>
        <w:tc>
          <w:tcPr>
            <w:tcW w:w="540" w:type="dxa"/>
            <w:vMerge w:val="restart"/>
            <w:shd w:val="clear" w:color="auto" w:fill="D9D9D9" w:themeFill="background1" w:themeFillShade="D9"/>
            <w:noWrap/>
            <w:vAlign w:val="center"/>
            <w:hideMark/>
          </w:tcPr>
          <w:p w14:paraId="6DF72DC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.001</w:t>
            </w:r>
          </w:p>
        </w:tc>
        <w:tc>
          <w:tcPr>
            <w:tcW w:w="586" w:type="dxa"/>
            <w:shd w:val="clear" w:color="auto" w:fill="D9D9D9" w:themeFill="background1" w:themeFillShade="D9"/>
            <w:noWrap/>
            <w:vAlign w:val="center"/>
            <w:hideMark/>
          </w:tcPr>
          <w:p w14:paraId="3EA3A0F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262</w:t>
            </w:r>
          </w:p>
        </w:tc>
        <w:tc>
          <w:tcPr>
            <w:tcW w:w="840" w:type="dxa"/>
            <w:shd w:val="clear" w:color="auto" w:fill="D9D9D9" w:themeFill="background1" w:themeFillShade="D9"/>
            <w:noWrap/>
            <w:vAlign w:val="bottom"/>
            <w:hideMark/>
          </w:tcPr>
          <w:p w14:paraId="2662881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81.11%</w:t>
            </w:r>
          </w:p>
        </w:tc>
        <w:tc>
          <w:tcPr>
            <w:tcW w:w="486" w:type="dxa"/>
            <w:shd w:val="clear" w:color="auto" w:fill="D9D9D9" w:themeFill="background1" w:themeFillShade="D9"/>
            <w:noWrap/>
            <w:vAlign w:val="center"/>
            <w:hideMark/>
          </w:tcPr>
          <w:p w14:paraId="2D0B66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128</w:t>
            </w:r>
          </w:p>
        </w:tc>
        <w:tc>
          <w:tcPr>
            <w:tcW w:w="1063" w:type="dxa"/>
            <w:shd w:val="clear" w:color="auto" w:fill="D9D9D9" w:themeFill="background1" w:themeFillShade="D9"/>
            <w:noWrap/>
            <w:vAlign w:val="bottom"/>
            <w:hideMark/>
          </w:tcPr>
          <w:p w14:paraId="2967D9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94.81%</w:t>
            </w:r>
          </w:p>
        </w:tc>
        <w:tc>
          <w:tcPr>
            <w:tcW w:w="434" w:type="dxa"/>
            <w:shd w:val="clear" w:color="auto" w:fill="D9D9D9" w:themeFill="background1" w:themeFillShade="D9"/>
            <w:noWrap/>
            <w:vAlign w:val="center"/>
            <w:hideMark/>
          </w:tcPr>
          <w:p w14:paraId="1021018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54</w:t>
            </w:r>
          </w:p>
        </w:tc>
        <w:tc>
          <w:tcPr>
            <w:tcW w:w="771" w:type="dxa"/>
            <w:shd w:val="clear" w:color="auto" w:fill="D9D9D9" w:themeFill="background1" w:themeFillShade="D9"/>
            <w:noWrap/>
            <w:vAlign w:val="bottom"/>
            <w:hideMark/>
          </w:tcPr>
          <w:p w14:paraId="5D43EE4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79.41%</w:t>
            </w:r>
          </w:p>
        </w:tc>
        <w:tc>
          <w:tcPr>
            <w:tcW w:w="486" w:type="dxa"/>
            <w:shd w:val="clear" w:color="auto" w:fill="D9D9D9" w:themeFill="background1" w:themeFillShade="D9"/>
          </w:tcPr>
          <w:p w14:paraId="121A1FDF"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444</w:t>
            </w:r>
          </w:p>
        </w:tc>
        <w:tc>
          <w:tcPr>
            <w:tcW w:w="771" w:type="dxa"/>
            <w:shd w:val="clear" w:color="auto" w:fill="D9D9D9" w:themeFill="background1" w:themeFillShade="D9"/>
          </w:tcPr>
          <w:p w14:paraId="0F45795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84.41%</w:t>
            </w:r>
          </w:p>
        </w:tc>
      </w:tr>
      <w:tr w:rsidR="006438CF" w:rsidRPr="00E2464D" w14:paraId="6269F6F2" w14:textId="77777777" w:rsidTr="00A76F24">
        <w:trPr>
          <w:trHeight w:val="300"/>
        </w:trPr>
        <w:tc>
          <w:tcPr>
            <w:tcW w:w="1995" w:type="dxa"/>
            <w:vMerge/>
            <w:shd w:val="clear" w:color="auto" w:fill="D9D9D9" w:themeFill="background1" w:themeFillShade="D9"/>
            <w:vAlign w:val="center"/>
            <w:hideMark/>
          </w:tcPr>
          <w:p w14:paraId="3501EA4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shd w:val="clear" w:color="auto" w:fill="D9D9D9" w:themeFill="background1" w:themeFillShade="D9"/>
            <w:noWrap/>
            <w:vAlign w:val="center"/>
            <w:hideMark/>
          </w:tcPr>
          <w:p w14:paraId="25846B9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shd w:val="clear" w:color="auto" w:fill="D9D9D9" w:themeFill="background1" w:themeFillShade="D9"/>
            <w:vAlign w:val="center"/>
            <w:hideMark/>
          </w:tcPr>
          <w:p w14:paraId="642097F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shd w:val="clear" w:color="auto" w:fill="D9D9D9" w:themeFill="background1" w:themeFillShade="D9"/>
            <w:vAlign w:val="center"/>
            <w:hideMark/>
          </w:tcPr>
          <w:p w14:paraId="517287D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shd w:val="clear" w:color="auto" w:fill="D9D9D9" w:themeFill="background1" w:themeFillShade="D9"/>
            <w:noWrap/>
            <w:vAlign w:val="center"/>
            <w:hideMark/>
          </w:tcPr>
          <w:p w14:paraId="31D31EC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61</w:t>
            </w:r>
          </w:p>
        </w:tc>
        <w:tc>
          <w:tcPr>
            <w:tcW w:w="840" w:type="dxa"/>
            <w:shd w:val="clear" w:color="auto" w:fill="D9D9D9" w:themeFill="background1" w:themeFillShade="D9"/>
            <w:noWrap/>
            <w:vAlign w:val="bottom"/>
            <w:hideMark/>
          </w:tcPr>
          <w:p w14:paraId="0B50649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18.89%</w:t>
            </w:r>
          </w:p>
        </w:tc>
        <w:tc>
          <w:tcPr>
            <w:tcW w:w="486" w:type="dxa"/>
            <w:shd w:val="clear" w:color="auto" w:fill="D9D9D9" w:themeFill="background1" w:themeFillShade="D9"/>
            <w:noWrap/>
            <w:vAlign w:val="center"/>
            <w:hideMark/>
          </w:tcPr>
          <w:p w14:paraId="262F42A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7</w:t>
            </w:r>
          </w:p>
        </w:tc>
        <w:tc>
          <w:tcPr>
            <w:tcW w:w="1063" w:type="dxa"/>
            <w:shd w:val="clear" w:color="auto" w:fill="D9D9D9" w:themeFill="background1" w:themeFillShade="D9"/>
            <w:noWrap/>
            <w:vAlign w:val="bottom"/>
            <w:hideMark/>
          </w:tcPr>
          <w:p w14:paraId="7E1CE6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5.19%</w:t>
            </w:r>
          </w:p>
        </w:tc>
        <w:tc>
          <w:tcPr>
            <w:tcW w:w="434" w:type="dxa"/>
            <w:shd w:val="clear" w:color="auto" w:fill="D9D9D9" w:themeFill="background1" w:themeFillShade="D9"/>
            <w:noWrap/>
            <w:vAlign w:val="center"/>
            <w:hideMark/>
          </w:tcPr>
          <w:p w14:paraId="35B22AF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14</w:t>
            </w:r>
          </w:p>
        </w:tc>
        <w:tc>
          <w:tcPr>
            <w:tcW w:w="771" w:type="dxa"/>
            <w:shd w:val="clear" w:color="auto" w:fill="D9D9D9" w:themeFill="background1" w:themeFillShade="D9"/>
            <w:noWrap/>
            <w:vAlign w:val="bottom"/>
            <w:hideMark/>
          </w:tcPr>
          <w:p w14:paraId="0F27CA1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20.59%</w:t>
            </w:r>
          </w:p>
        </w:tc>
        <w:tc>
          <w:tcPr>
            <w:tcW w:w="486" w:type="dxa"/>
            <w:shd w:val="clear" w:color="auto" w:fill="D9D9D9" w:themeFill="background1" w:themeFillShade="D9"/>
          </w:tcPr>
          <w:p w14:paraId="04814F5F"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82</w:t>
            </w:r>
          </w:p>
        </w:tc>
        <w:tc>
          <w:tcPr>
            <w:tcW w:w="771" w:type="dxa"/>
            <w:shd w:val="clear" w:color="auto" w:fill="D9D9D9" w:themeFill="background1" w:themeFillShade="D9"/>
          </w:tcPr>
          <w:p w14:paraId="6FCE8FA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15.59%</w:t>
            </w:r>
          </w:p>
        </w:tc>
      </w:tr>
      <w:tr w:rsidR="006438CF" w:rsidRPr="00E2464D" w14:paraId="7EEA95D3" w14:textId="77777777" w:rsidTr="00A76F24">
        <w:trPr>
          <w:trHeight w:val="300"/>
        </w:trPr>
        <w:tc>
          <w:tcPr>
            <w:tcW w:w="1995" w:type="dxa"/>
            <w:vMerge w:val="restart"/>
            <w:shd w:val="clear" w:color="auto" w:fill="D9D9D9" w:themeFill="background1" w:themeFillShade="D9"/>
            <w:noWrap/>
            <w:vAlign w:val="center"/>
            <w:hideMark/>
          </w:tcPr>
          <w:p w14:paraId="163396B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Specialized rehabilitation </w:t>
            </w:r>
          </w:p>
          <w:p w14:paraId="542A3E3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program for anger management</w:t>
            </w:r>
          </w:p>
        </w:tc>
        <w:tc>
          <w:tcPr>
            <w:tcW w:w="817" w:type="dxa"/>
            <w:shd w:val="clear" w:color="auto" w:fill="D9D9D9" w:themeFill="background1" w:themeFillShade="D9"/>
            <w:noWrap/>
            <w:vAlign w:val="center"/>
            <w:hideMark/>
          </w:tcPr>
          <w:p w14:paraId="73A21D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shd w:val="clear" w:color="auto" w:fill="D9D9D9" w:themeFill="background1" w:themeFillShade="D9"/>
            <w:noWrap/>
            <w:vAlign w:val="center"/>
            <w:hideMark/>
          </w:tcPr>
          <w:p w14:paraId="2D41375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13.81</w:t>
            </w:r>
          </w:p>
        </w:tc>
        <w:tc>
          <w:tcPr>
            <w:tcW w:w="540" w:type="dxa"/>
            <w:vMerge w:val="restart"/>
            <w:shd w:val="clear" w:color="auto" w:fill="D9D9D9" w:themeFill="background1" w:themeFillShade="D9"/>
            <w:noWrap/>
            <w:vAlign w:val="center"/>
            <w:hideMark/>
          </w:tcPr>
          <w:p w14:paraId="39F5DB1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.001</w:t>
            </w:r>
          </w:p>
        </w:tc>
        <w:tc>
          <w:tcPr>
            <w:tcW w:w="586" w:type="dxa"/>
            <w:shd w:val="clear" w:color="auto" w:fill="D9D9D9" w:themeFill="background1" w:themeFillShade="D9"/>
            <w:noWrap/>
            <w:vAlign w:val="center"/>
            <w:hideMark/>
          </w:tcPr>
          <w:p w14:paraId="27E3590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301</w:t>
            </w:r>
          </w:p>
        </w:tc>
        <w:tc>
          <w:tcPr>
            <w:tcW w:w="840" w:type="dxa"/>
            <w:shd w:val="clear" w:color="auto" w:fill="D9D9D9" w:themeFill="background1" w:themeFillShade="D9"/>
            <w:noWrap/>
            <w:vAlign w:val="bottom"/>
            <w:hideMark/>
          </w:tcPr>
          <w:p w14:paraId="57DA25B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93.19%</w:t>
            </w:r>
          </w:p>
        </w:tc>
        <w:tc>
          <w:tcPr>
            <w:tcW w:w="486" w:type="dxa"/>
            <w:shd w:val="clear" w:color="auto" w:fill="D9D9D9" w:themeFill="background1" w:themeFillShade="D9"/>
            <w:noWrap/>
            <w:vAlign w:val="center"/>
            <w:hideMark/>
          </w:tcPr>
          <w:p w14:paraId="66E50F8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132</w:t>
            </w:r>
          </w:p>
        </w:tc>
        <w:tc>
          <w:tcPr>
            <w:tcW w:w="1063" w:type="dxa"/>
            <w:shd w:val="clear" w:color="auto" w:fill="D9D9D9" w:themeFill="background1" w:themeFillShade="D9"/>
            <w:noWrap/>
            <w:vAlign w:val="bottom"/>
            <w:hideMark/>
          </w:tcPr>
          <w:p w14:paraId="7C92980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97.78%</w:t>
            </w:r>
          </w:p>
        </w:tc>
        <w:tc>
          <w:tcPr>
            <w:tcW w:w="434" w:type="dxa"/>
            <w:shd w:val="clear" w:color="auto" w:fill="D9D9D9" w:themeFill="background1" w:themeFillShade="D9"/>
            <w:noWrap/>
            <w:vAlign w:val="center"/>
            <w:hideMark/>
          </w:tcPr>
          <w:p w14:paraId="1EDEE51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57</w:t>
            </w:r>
          </w:p>
        </w:tc>
        <w:tc>
          <w:tcPr>
            <w:tcW w:w="771" w:type="dxa"/>
            <w:shd w:val="clear" w:color="auto" w:fill="D9D9D9" w:themeFill="background1" w:themeFillShade="D9"/>
            <w:noWrap/>
            <w:vAlign w:val="bottom"/>
            <w:hideMark/>
          </w:tcPr>
          <w:p w14:paraId="68066A5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83.82%</w:t>
            </w:r>
          </w:p>
        </w:tc>
        <w:tc>
          <w:tcPr>
            <w:tcW w:w="486" w:type="dxa"/>
            <w:shd w:val="clear" w:color="auto" w:fill="D9D9D9" w:themeFill="background1" w:themeFillShade="D9"/>
          </w:tcPr>
          <w:p w14:paraId="592B133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490</w:t>
            </w:r>
          </w:p>
        </w:tc>
        <w:tc>
          <w:tcPr>
            <w:tcW w:w="771" w:type="dxa"/>
            <w:shd w:val="clear" w:color="auto" w:fill="D9D9D9" w:themeFill="background1" w:themeFillShade="D9"/>
          </w:tcPr>
          <w:p w14:paraId="648C8C2D"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93.16%</w:t>
            </w:r>
          </w:p>
        </w:tc>
      </w:tr>
      <w:tr w:rsidR="006438CF" w:rsidRPr="00E2464D" w14:paraId="0102E8F1" w14:textId="77777777" w:rsidTr="00A76F24">
        <w:trPr>
          <w:trHeight w:val="300"/>
        </w:trPr>
        <w:tc>
          <w:tcPr>
            <w:tcW w:w="1995" w:type="dxa"/>
            <w:vMerge/>
            <w:shd w:val="clear" w:color="auto" w:fill="D9D9D9" w:themeFill="background1" w:themeFillShade="D9"/>
            <w:vAlign w:val="center"/>
            <w:hideMark/>
          </w:tcPr>
          <w:p w14:paraId="0882CD0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shd w:val="clear" w:color="auto" w:fill="D9D9D9" w:themeFill="background1" w:themeFillShade="D9"/>
            <w:noWrap/>
            <w:vAlign w:val="center"/>
            <w:hideMark/>
          </w:tcPr>
          <w:p w14:paraId="1D00EF8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shd w:val="clear" w:color="auto" w:fill="D9D9D9" w:themeFill="background1" w:themeFillShade="D9"/>
            <w:vAlign w:val="center"/>
            <w:hideMark/>
          </w:tcPr>
          <w:p w14:paraId="47F28B7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shd w:val="clear" w:color="auto" w:fill="D9D9D9" w:themeFill="background1" w:themeFillShade="D9"/>
            <w:vAlign w:val="center"/>
            <w:hideMark/>
          </w:tcPr>
          <w:p w14:paraId="3EDCA07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shd w:val="clear" w:color="auto" w:fill="D9D9D9" w:themeFill="background1" w:themeFillShade="D9"/>
            <w:noWrap/>
            <w:vAlign w:val="center"/>
            <w:hideMark/>
          </w:tcPr>
          <w:p w14:paraId="31046EA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w:t>
            </w:r>
          </w:p>
        </w:tc>
        <w:tc>
          <w:tcPr>
            <w:tcW w:w="840" w:type="dxa"/>
            <w:shd w:val="clear" w:color="auto" w:fill="D9D9D9" w:themeFill="background1" w:themeFillShade="D9"/>
            <w:noWrap/>
            <w:vAlign w:val="bottom"/>
            <w:hideMark/>
          </w:tcPr>
          <w:p w14:paraId="12153DA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6.81%</w:t>
            </w:r>
          </w:p>
        </w:tc>
        <w:tc>
          <w:tcPr>
            <w:tcW w:w="486" w:type="dxa"/>
            <w:shd w:val="clear" w:color="auto" w:fill="D9D9D9" w:themeFill="background1" w:themeFillShade="D9"/>
            <w:noWrap/>
            <w:vAlign w:val="center"/>
            <w:hideMark/>
          </w:tcPr>
          <w:p w14:paraId="53EB12B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w:t>
            </w:r>
          </w:p>
        </w:tc>
        <w:tc>
          <w:tcPr>
            <w:tcW w:w="1063" w:type="dxa"/>
            <w:shd w:val="clear" w:color="auto" w:fill="D9D9D9" w:themeFill="background1" w:themeFillShade="D9"/>
            <w:noWrap/>
            <w:vAlign w:val="bottom"/>
            <w:hideMark/>
          </w:tcPr>
          <w:p w14:paraId="7C3A21F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2.22%</w:t>
            </w:r>
          </w:p>
        </w:tc>
        <w:tc>
          <w:tcPr>
            <w:tcW w:w="434" w:type="dxa"/>
            <w:shd w:val="clear" w:color="auto" w:fill="D9D9D9" w:themeFill="background1" w:themeFillShade="D9"/>
            <w:noWrap/>
            <w:vAlign w:val="center"/>
            <w:hideMark/>
          </w:tcPr>
          <w:p w14:paraId="5D36DE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771" w:type="dxa"/>
            <w:shd w:val="clear" w:color="auto" w:fill="D9D9D9" w:themeFill="background1" w:themeFillShade="D9"/>
            <w:noWrap/>
            <w:vAlign w:val="bottom"/>
            <w:hideMark/>
          </w:tcPr>
          <w:p w14:paraId="1D02841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16.18%</w:t>
            </w:r>
          </w:p>
        </w:tc>
        <w:tc>
          <w:tcPr>
            <w:tcW w:w="486" w:type="dxa"/>
            <w:shd w:val="clear" w:color="auto" w:fill="D9D9D9" w:themeFill="background1" w:themeFillShade="D9"/>
          </w:tcPr>
          <w:p w14:paraId="0491DA39"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36</w:t>
            </w:r>
          </w:p>
        </w:tc>
        <w:tc>
          <w:tcPr>
            <w:tcW w:w="771" w:type="dxa"/>
            <w:shd w:val="clear" w:color="auto" w:fill="D9D9D9" w:themeFill="background1" w:themeFillShade="D9"/>
          </w:tcPr>
          <w:p w14:paraId="6A6D5FD9"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6.84%</w:t>
            </w:r>
          </w:p>
        </w:tc>
      </w:tr>
      <w:tr w:rsidR="006438CF" w:rsidRPr="00E2464D" w14:paraId="3B09A038" w14:textId="77777777" w:rsidTr="00A76F24">
        <w:trPr>
          <w:trHeight w:val="300"/>
        </w:trPr>
        <w:tc>
          <w:tcPr>
            <w:tcW w:w="1995" w:type="dxa"/>
            <w:vMerge w:val="restart"/>
            <w:shd w:val="clear" w:color="auto" w:fill="D9D9D9" w:themeFill="background1" w:themeFillShade="D9"/>
            <w:noWrap/>
            <w:vAlign w:val="center"/>
            <w:hideMark/>
          </w:tcPr>
          <w:p w14:paraId="67AF28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Work engagement</w:t>
            </w:r>
          </w:p>
        </w:tc>
        <w:tc>
          <w:tcPr>
            <w:tcW w:w="817" w:type="dxa"/>
            <w:shd w:val="clear" w:color="auto" w:fill="D9D9D9" w:themeFill="background1" w:themeFillShade="D9"/>
            <w:noWrap/>
            <w:vAlign w:val="center"/>
            <w:hideMark/>
          </w:tcPr>
          <w:p w14:paraId="45B5D85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shd w:val="clear" w:color="auto" w:fill="D9D9D9" w:themeFill="background1" w:themeFillShade="D9"/>
            <w:noWrap/>
            <w:vAlign w:val="center"/>
            <w:hideMark/>
          </w:tcPr>
          <w:p w14:paraId="6C38731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16.26</w:t>
            </w:r>
          </w:p>
        </w:tc>
        <w:tc>
          <w:tcPr>
            <w:tcW w:w="540" w:type="dxa"/>
            <w:vMerge w:val="restart"/>
            <w:shd w:val="clear" w:color="auto" w:fill="D9D9D9" w:themeFill="background1" w:themeFillShade="D9"/>
            <w:noWrap/>
            <w:vAlign w:val="center"/>
            <w:hideMark/>
          </w:tcPr>
          <w:p w14:paraId="4CA4272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.000</w:t>
            </w:r>
          </w:p>
        </w:tc>
        <w:tc>
          <w:tcPr>
            <w:tcW w:w="586" w:type="dxa"/>
            <w:shd w:val="clear" w:color="auto" w:fill="D9D9D9" w:themeFill="background1" w:themeFillShade="D9"/>
            <w:noWrap/>
            <w:vAlign w:val="center"/>
            <w:hideMark/>
          </w:tcPr>
          <w:p w14:paraId="507DD48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95</w:t>
            </w:r>
          </w:p>
        </w:tc>
        <w:tc>
          <w:tcPr>
            <w:tcW w:w="840" w:type="dxa"/>
            <w:shd w:val="clear" w:color="auto" w:fill="D9D9D9" w:themeFill="background1" w:themeFillShade="D9"/>
            <w:noWrap/>
            <w:vAlign w:val="bottom"/>
            <w:hideMark/>
          </w:tcPr>
          <w:p w14:paraId="064E6FE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29.41%</w:t>
            </w:r>
          </w:p>
        </w:tc>
        <w:tc>
          <w:tcPr>
            <w:tcW w:w="486" w:type="dxa"/>
            <w:shd w:val="clear" w:color="auto" w:fill="D9D9D9" w:themeFill="background1" w:themeFillShade="D9"/>
            <w:noWrap/>
            <w:vAlign w:val="center"/>
            <w:hideMark/>
          </w:tcPr>
          <w:p w14:paraId="0A286B6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66</w:t>
            </w:r>
          </w:p>
        </w:tc>
        <w:tc>
          <w:tcPr>
            <w:tcW w:w="1063" w:type="dxa"/>
            <w:shd w:val="clear" w:color="auto" w:fill="D9D9D9" w:themeFill="background1" w:themeFillShade="D9"/>
            <w:noWrap/>
            <w:vAlign w:val="bottom"/>
            <w:hideMark/>
          </w:tcPr>
          <w:p w14:paraId="4BAD30E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48.89%</w:t>
            </w:r>
          </w:p>
        </w:tc>
        <w:tc>
          <w:tcPr>
            <w:tcW w:w="434" w:type="dxa"/>
            <w:shd w:val="clear" w:color="auto" w:fill="D9D9D9" w:themeFill="background1" w:themeFillShade="D9"/>
            <w:noWrap/>
            <w:vAlign w:val="center"/>
            <w:hideMark/>
          </w:tcPr>
          <w:p w14:paraId="4E38CEC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w:t>
            </w:r>
          </w:p>
        </w:tc>
        <w:tc>
          <w:tcPr>
            <w:tcW w:w="771" w:type="dxa"/>
            <w:shd w:val="clear" w:color="auto" w:fill="D9D9D9" w:themeFill="background1" w:themeFillShade="D9"/>
            <w:noWrap/>
            <w:vAlign w:val="bottom"/>
            <w:hideMark/>
          </w:tcPr>
          <w:p w14:paraId="7461741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39.71%</w:t>
            </w:r>
          </w:p>
        </w:tc>
        <w:tc>
          <w:tcPr>
            <w:tcW w:w="486" w:type="dxa"/>
            <w:shd w:val="clear" w:color="auto" w:fill="D9D9D9" w:themeFill="background1" w:themeFillShade="D9"/>
          </w:tcPr>
          <w:p w14:paraId="59B09C3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188</w:t>
            </w:r>
          </w:p>
        </w:tc>
        <w:tc>
          <w:tcPr>
            <w:tcW w:w="771" w:type="dxa"/>
            <w:shd w:val="clear" w:color="auto" w:fill="D9D9D9" w:themeFill="background1" w:themeFillShade="D9"/>
          </w:tcPr>
          <w:p w14:paraId="67657A1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35.74%</w:t>
            </w:r>
          </w:p>
        </w:tc>
      </w:tr>
      <w:tr w:rsidR="006438CF" w:rsidRPr="00E2464D" w14:paraId="3C684F06" w14:textId="77777777" w:rsidTr="00A76F24">
        <w:trPr>
          <w:trHeight w:val="300"/>
        </w:trPr>
        <w:tc>
          <w:tcPr>
            <w:tcW w:w="1995" w:type="dxa"/>
            <w:vMerge/>
            <w:vAlign w:val="center"/>
            <w:hideMark/>
          </w:tcPr>
          <w:p w14:paraId="7B5452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shd w:val="clear" w:color="auto" w:fill="D9D9D9" w:themeFill="background1" w:themeFillShade="D9"/>
            <w:noWrap/>
            <w:vAlign w:val="center"/>
            <w:hideMark/>
          </w:tcPr>
          <w:p w14:paraId="6CE7D72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1536D80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740B4A8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shd w:val="clear" w:color="auto" w:fill="D9D9D9" w:themeFill="background1" w:themeFillShade="D9"/>
            <w:noWrap/>
            <w:vAlign w:val="center"/>
            <w:hideMark/>
          </w:tcPr>
          <w:p w14:paraId="70380FA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228</w:t>
            </w:r>
          </w:p>
        </w:tc>
        <w:tc>
          <w:tcPr>
            <w:tcW w:w="840" w:type="dxa"/>
            <w:shd w:val="clear" w:color="auto" w:fill="D9D9D9" w:themeFill="background1" w:themeFillShade="D9"/>
            <w:noWrap/>
            <w:vAlign w:val="bottom"/>
            <w:hideMark/>
          </w:tcPr>
          <w:p w14:paraId="31BCC9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70.59%</w:t>
            </w:r>
          </w:p>
        </w:tc>
        <w:tc>
          <w:tcPr>
            <w:tcW w:w="486" w:type="dxa"/>
            <w:shd w:val="clear" w:color="auto" w:fill="D9D9D9" w:themeFill="background1" w:themeFillShade="D9"/>
            <w:noWrap/>
            <w:vAlign w:val="center"/>
            <w:hideMark/>
          </w:tcPr>
          <w:p w14:paraId="3284E27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69</w:t>
            </w:r>
          </w:p>
        </w:tc>
        <w:tc>
          <w:tcPr>
            <w:tcW w:w="1063" w:type="dxa"/>
            <w:shd w:val="clear" w:color="auto" w:fill="D9D9D9" w:themeFill="background1" w:themeFillShade="D9"/>
            <w:noWrap/>
            <w:vAlign w:val="bottom"/>
            <w:hideMark/>
          </w:tcPr>
          <w:p w14:paraId="2EF0396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51.11%</w:t>
            </w:r>
          </w:p>
        </w:tc>
        <w:tc>
          <w:tcPr>
            <w:tcW w:w="434" w:type="dxa"/>
            <w:shd w:val="clear" w:color="auto" w:fill="D9D9D9" w:themeFill="background1" w:themeFillShade="D9"/>
            <w:noWrap/>
            <w:vAlign w:val="center"/>
            <w:hideMark/>
          </w:tcPr>
          <w:p w14:paraId="50D8212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41</w:t>
            </w:r>
          </w:p>
        </w:tc>
        <w:tc>
          <w:tcPr>
            <w:tcW w:w="771" w:type="dxa"/>
            <w:shd w:val="clear" w:color="auto" w:fill="D9D9D9" w:themeFill="background1" w:themeFillShade="D9"/>
            <w:noWrap/>
            <w:vAlign w:val="bottom"/>
            <w:hideMark/>
          </w:tcPr>
          <w:p w14:paraId="0E7BC5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60.29%</w:t>
            </w:r>
          </w:p>
        </w:tc>
        <w:tc>
          <w:tcPr>
            <w:tcW w:w="486" w:type="dxa"/>
            <w:shd w:val="clear" w:color="auto" w:fill="D9D9D9" w:themeFill="background1" w:themeFillShade="D9"/>
          </w:tcPr>
          <w:p w14:paraId="3D58A44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338</w:t>
            </w:r>
          </w:p>
        </w:tc>
        <w:tc>
          <w:tcPr>
            <w:tcW w:w="771" w:type="dxa"/>
            <w:shd w:val="clear" w:color="auto" w:fill="D9D9D9" w:themeFill="background1" w:themeFillShade="D9"/>
          </w:tcPr>
          <w:p w14:paraId="0CA1F60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64.26%</w:t>
            </w:r>
          </w:p>
        </w:tc>
      </w:tr>
      <w:tr w:rsidR="006438CF" w:rsidRPr="00E2464D" w14:paraId="0D1A83A7" w14:textId="77777777" w:rsidTr="00A76F24">
        <w:trPr>
          <w:trHeight w:val="300"/>
        </w:trPr>
        <w:tc>
          <w:tcPr>
            <w:tcW w:w="1995" w:type="dxa"/>
            <w:vMerge w:val="restart"/>
            <w:noWrap/>
            <w:vAlign w:val="center"/>
            <w:hideMark/>
          </w:tcPr>
          <w:p w14:paraId="08AC62E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Participation in the </w:t>
            </w:r>
          </w:p>
          <w:p w14:paraId="585B544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educational process</w:t>
            </w:r>
          </w:p>
        </w:tc>
        <w:tc>
          <w:tcPr>
            <w:tcW w:w="817" w:type="dxa"/>
            <w:noWrap/>
            <w:vAlign w:val="center"/>
            <w:hideMark/>
          </w:tcPr>
          <w:p w14:paraId="42BD9E4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noWrap/>
            <w:vAlign w:val="center"/>
            <w:hideMark/>
          </w:tcPr>
          <w:p w14:paraId="7F6F07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3.80</w:t>
            </w:r>
          </w:p>
        </w:tc>
        <w:tc>
          <w:tcPr>
            <w:tcW w:w="540" w:type="dxa"/>
            <w:vMerge w:val="restart"/>
            <w:noWrap/>
            <w:vAlign w:val="center"/>
            <w:hideMark/>
          </w:tcPr>
          <w:p w14:paraId="6170587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.149</w:t>
            </w:r>
          </w:p>
        </w:tc>
        <w:tc>
          <w:tcPr>
            <w:tcW w:w="586" w:type="dxa"/>
            <w:noWrap/>
            <w:vAlign w:val="center"/>
            <w:hideMark/>
          </w:tcPr>
          <w:p w14:paraId="2DFDEB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278</w:t>
            </w:r>
          </w:p>
        </w:tc>
        <w:tc>
          <w:tcPr>
            <w:tcW w:w="840" w:type="dxa"/>
            <w:noWrap/>
            <w:vAlign w:val="bottom"/>
            <w:hideMark/>
          </w:tcPr>
          <w:p w14:paraId="0149F28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86.07%</w:t>
            </w:r>
          </w:p>
        </w:tc>
        <w:tc>
          <w:tcPr>
            <w:tcW w:w="486" w:type="dxa"/>
            <w:noWrap/>
            <w:vAlign w:val="center"/>
            <w:hideMark/>
          </w:tcPr>
          <w:p w14:paraId="0CE9ED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123</w:t>
            </w:r>
          </w:p>
        </w:tc>
        <w:tc>
          <w:tcPr>
            <w:tcW w:w="1063" w:type="dxa"/>
            <w:noWrap/>
            <w:vAlign w:val="bottom"/>
            <w:hideMark/>
          </w:tcPr>
          <w:p w14:paraId="0543540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91.11%</w:t>
            </w:r>
          </w:p>
        </w:tc>
        <w:tc>
          <w:tcPr>
            <w:tcW w:w="434" w:type="dxa"/>
            <w:noWrap/>
            <w:vAlign w:val="center"/>
            <w:hideMark/>
          </w:tcPr>
          <w:p w14:paraId="02FBC76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63</w:t>
            </w:r>
          </w:p>
        </w:tc>
        <w:tc>
          <w:tcPr>
            <w:tcW w:w="771" w:type="dxa"/>
            <w:noWrap/>
            <w:vAlign w:val="bottom"/>
            <w:hideMark/>
          </w:tcPr>
          <w:p w14:paraId="101DB2B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92.65%</w:t>
            </w:r>
          </w:p>
        </w:tc>
        <w:tc>
          <w:tcPr>
            <w:tcW w:w="486" w:type="dxa"/>
          </w:tcPr>
          <w:p w14:paraId="5E5DF51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464</w:t>
            </w:r>
          </w:p>
        </w:tc>
        <w:tc>
          <w:tcPr>
            <w:tcW w:w="771" w:type="dxa"/>
          </w:tcPr>
          <w:p w14:paraId="558FEA4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88.21%</w:t>
            </w:r>
          </w:p>
        </w:tc>
      </w:tr>
      <w:tr w:rsidR="006438CF" w:rsidRPr="00E2464D" w14:paraId="438D1038" w14:textId="77777777" w:rsidTr="00A76F24">
        <w:trPr>
          <w:trHeight w:val="300"/>
        </w:trPr>
        <w:tc>
          <w:tcPr>
            <w:tcW w:w="1995" w:type="dxa"/>
            <w:vMerge/>
            <w:vAlign w:val="center"/>
            <w:hideMark/>
          </w:tcPr>
          <w:p w14:paraId="4D394E7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noWrap/>
            <w:vAlign w:val="center"/>
            <w:hideMark/>
          </w:tcPr>
          <w:p w14:paraId="2A834EC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0A71AFD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467472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noWrap/>
            <w:vAlign w:val="center"/>
            <w:hideMark/>
          </w:tcPr>
          <w:p w14:paraId="7C4727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45</w:t>
            </w:r>
          </w:p>
        </w:tc>
        <w:tc>
          <w:tcPr>
            <w:tcW w:w="840" w:type="dxa"/>
            <w:noWrap/>
            <w:vAlign w:val="bottom"/>
            <w:hideMark/>
          </w:tcPr>
          <w:p w14:paraId="50C7D7A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13.93%</w:t>
            </w:r>
          </w:p>
        </w:tc>
        <w:tc>
          <w:tcPr>
            <w:tcW w:w="486" w:type="dxa"/>
            <w:noWrap/>
            <w:vAlign w:val="center"/>
            <w:hideMark/>
          </w:tcPr>
          <w:p w14:paraId="1DA7FF7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w:t>
            </w:r>
          </w:p>
        </w:tc>
        <w:tc>
          <w:tcPr>
            <w:tcW w:w="1063" w:type="dxa"/>
            <w:noWrap/>
            <w:vAlign w:val="bottom"/>
            <w:hideMark/>
          </w:tcPr>
          <w:p w14:paraId="50FFAE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8.89%</w:t>
            </w:r>
          </w:p>
        </w:tc>
        <w:tc>
          <w:tcPr>
            <w:tcW w:w="434" w:type="dxa"/>
            <w:noWrap/>
            <w:vAlign w:val="center"/>
            <w:hideMark/>
          </w:tcPr>
          <w:p w14:paraId="7BE787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w:t>
            </w:r>
          </w:p>
        </w:tc>
        <w:tc>
          <w:tcPr>
            <w:tcW w:w="771" w:type="dxa"/>
            <w:noWrap/>
            <w:vAlign w:val="bottom"/>
            <w:hideMark/>
          </w:tcPr>
          <w:p w14:paraId="7C4FCB0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7.35%</w:t>
            </w:r>
          </w:p>
        </w:tc>
        <w:tc>
          <w:tcPr>
            <w:tcW w:w="486" w:type="dxa"/>
          </w:tcPr>
          <w:p w14:paraId="1C2CDC8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62</w:t>
            </w:r>
          </w:p>
        </w:tc>
        <w:tc>
          <w:tcPr>
            <w:tcW w:w="771" w:type="dxa"/>
          </w:tcPr>
          <w:p w14:paraId="0015132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11.79%</w:t>
            </w:r>
          </w:p>
        </w:tc>
      </w:tr>
      <w:tr w:rsidR="006438CF" w:rsidRPr="00E2464D" w14:paraId="6D0280FC" w14:textId="77777777" w:rsidTr="00A76F24">
        <w:trPr>
          <w:trHeight w:val="300"/>
        </w:trPr>
        <w:tc>
          <w:tcPr>
            <w:tcW w:w="1995" w:type="dxa"/>
            <w:vMerge w:val="restart"/>
            <w:shd w:val="clear" w:color="auto" w:fill="auto"/>
            <w:noWrap/>
            <w:vAlign w:val="center"/>
            <w:hideMark/>
          </w:tcPr>
          <w:p w14:paraId="15B405A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Participation in </w:t>
            </w:r>
          </w:p>
          <w:p w14:paraId="36494F2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cultural activities</w:t>
            </w:r>
          </w:p>
        </w:tc>
        <w:tc>
          <w:tcPr>
            <w:tcW w:w="817" w:type="dxa"/>
            <w:shd w:val="clear" w:color="auto" w:fill="auto"/>
            <w:noWrap/>
            <w:vAlign w:val="center"/>
            <w:hideMark/>
          </w:tcPr>
          <w:p w14:paraId="356D63B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shd w:val="clear" w:color="auto" w:fill="auto"/>
            <w:noWrap/>
            <w:vAlign w:val="center"/>
            <w:hideMark/>
          </w:tcPr>
          <w:p w14:paraId="4096CB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.015</w:t>
            </w:r>
          </w:p>
        </w:tc>
        <w:tc>
          <w:tcPr>
            <w:tcW w:w="540" w:type="dxa"/>
            <w:vMerge w:val="restart"/>
            <w:shd w:val="clear" w:color="auto" w:fill="auto"/>
            <w:noWrap/>
            <w:vAlign w:val="center"/>
            <w:hideMark/>
          </w:tcPr>
          <w:p w14:paraId="7409E8E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.993</w:t>
            </w:r>
          </w:p>
        </w:tc>
        <w:tc>
          <w:tcPr>
            <w:tcW w:w="586" w:type="dxa"/>
            <w:shd w:val="clear" w:color="auto" w:fill="auto"/>
            <w:noWrap/>
            <w:vAlign w:val="center"/>
            <w:hideMark/>
          </w:tcPr>
          <w:p w14:paraId="3B38EC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270</w:t>
            </w:r>
          </w:p>
        </w:tc>
        <w:tc>
          <w:tcPr>
            <w:tcW w:w="840" w:type="dxa"/>
            <w:shd w:val="clear" w:color="auto" w:fill="auto"/>
            <w:noWrap/>
            <w:vAlign w:val="bottom"/>
            <w:hideMark/>
          </w:tcPr>
          <w:p w14:paraId="11CF9A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84.11%</w:t>
            </w:r>
          </w:p>
        </w:tc>
        <w:tc>
          <w:tcPr>
            <w:tcW w:w="486" w:type="dxa"/>
            <w:shd w:val="clear" w:color="auto" w:fill="auto"/>
            <w:noWrap/>
            <w:vAlign w:val="center"/>
            <w:hideMark/>
          </w:tcPr>
          <w:p w14:paraId="646132E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114</w:t>
            </w:r>
          </w:p>
        </w:tc>
        <w:tc>
          <w:tcPr>
            <w:tcW w:w="1063" w:type="dxa"/>
            <w:shd w:val="clear" w:color="auto" w:fill="auto"/>
            <w:noWrap/>
            <w:vAlign w:val="bottom"/>
            <w:hideMark/>
          </w:tcPr>
          <w:p w14:paraId="7FE9C6D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84.44%</w:t>
            </w:r>
          </w:p>
        </w:tc>
        <w:tc>
          <w:tcPr>
            <w:tcW w:w="434" w:type="dxa"/>
            <w:shd w:val="clear" w:color="auto" w:fill="auto"/>
            <w:noWrap/>
            <w:vAlign w:val="center"/>
            <w:hideMark/>
          </w:tcPr>
          <w:p w14:paraId="467D1B0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57</w:t>
            </w:r>
          </w:p>
        </w:tc>
        <w:tc>
          <w:tcPr>
            <w:tcW w:w="771" w:type="dxa"/>
            <w:shd w:val="clear" w:color="auto" w:fill="auto"/>
            <w:noWrap/>
            <w:vAlign w:val="bottom"/>
            <w:hideMark/>
          </w:tcPr>
          <w:p w14:paraId="488323A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83.82%</w:t>
            </w:r>
          </w:p>
        </w:tc>
        <w:tc>
          <w:tcPr>
            <w:tcW w:w="486" w:type="dxa"/>
            <w:shd w:val="clear" w:color="auto" w:fill="auto"/>
          </w:tcPr>
          <w:p w14:paraId="69FC83E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441</w:t>
            </w:r>
          </w:p>
        </w:tc>
        <w:tc>
          <w:tcPr>
            <w:tcW w:w="771" w:type="dxa"/>
            <w:shd w:val="clear" w:color="auto" w:fill="auto"/>
          </w:tcPr>
          <w:p w14:paraId="175D2FE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84.16%</w:t>
            </w:r>
          </w:p>
        </w:tc>
      </w:tr>
      <w:tr w:rsidR="006438CF" w:rsidRPr="00E2464D" w14:paraId="7C322E9B" w14:textId="77777777" w:rsidTr="00A76F24">
        <w:trPr>
          <w:trHeight w:val="288"/>
        </w:trPr>
        <w:tc>
          <w:tcPr>
            <w:tcW w:w="1995" w:type="dxa"/>
            <w:vMerge/>
            <w:tcBorders>
              <w:bottom w:val="single" w:sz="4" w:space="0" w:color="auto"/>
            </w:tcBorders>
            <w:shd w:val="clear" w:color="auto" w:fill="D9D9D9" w:themeFill="background1" w:themeFillShade="D9"/>
            <w:vAlign w:val="center"/>
            <w:hideMark/>
          </w:tcPr>
          <w:p w14:paraId="141B30D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tcBorders>
              <w:bottom w:val="single" w:sz="4" w:space="0" w:color="auto"/>
            </w:tcBorders>
            <w:shd w:val="clear" w:color="auto" w:fill="auto"/>
            <w:noWrap/>
            <w:vAlign w:val="center"/>
            <w:hideMark/>
          </w:tcPr>
          <w:p w14:paraId="722E8F1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tcBorders>
              <w:bottom w:val="single" w:sz="4" w:space="0" w:color="auto"/>
            </w:tcBorders>
            <w:shd w:val="clear" w:color="auto" w:fill="D9D9D9" w:themeFill="background1" w:themeFillShade="D9"/>
            <w:vAlign w:val="center"/>
            <w:hideMark/>
          </w:tcPr>
          <w:p w14:paraId="7F3422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tcBorders>
              <w:bottom w:val="single" w:sz="4" w:space="0" w:color="auto"/>
            </w:tcBorders>
            <w:shd w:val="clear" w:color="auto" w:fill="D9D9D9" w:themeFill="background1" w:themeFillShade="D9"/>
            <w:vAlign w:val="center"/>
            <w:hideMark/>
          </w:tcPr>
          <w:p w14:paraId="0E0B054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tcBorders>
              <w:bottom w:val="single" w:sz="4" w:space="0" w:color="auto"/>
            </w:tcBorders>
            <w:shd w:val="clear" w:color="auto" w:fill="auto"/>
            <w:noWrap/>
            <w:vAlign w:val="center"/>
            <w:hideMark/>
          </w:tcPr>
          <w:p w14:paraId="57D6ED7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w:t>
            </w:r>
          </w:p>
        </w:tc>
        <w:tc>
          <w:tcPr>
            <w:tcW w:w="840" w:type="dxa"/>
            <w:tcBorders>
              <w:bottom w:val="single" w:sz="4" w:space="0" w:color="auto"/>
            </w:tcBorders>
            <w:shd w:val="clear" w:color="auto" w:fill="auto"/>
            <w:noWrap/>
            <w:vAlign w:val="bottom"/>
            <w:hideMark/>
          </w:tcPr>
          <w:p w14:paraId="6B615C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15.89%</w:t>
            </w:r>
          </w:p>
        </w:tc>
        <w:tc>
          <w:tcPr>
            <w:tcW w:w="486" w:type="dxa"/>
            <w:tcBorders>
              <w:bottom w:val="single" w:sz="4" w:space="0" w:color="auto"/>
            </w:tcBorders>
            <w:shd w:val="clear" w:color="auto" w:fill="auto"/>
            <w:noWrap/>
            <w:vAlign w:val="center"/>
            <w:hideMark/>
          </w:tcPr>
          <w:p w14:paraId="1120CC4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21</w:t>
            </w:r>
          </w:p>
        </w:tc>
        <w:tc>
          <w:tcPr>
            <w:tcW w:w="1063" w:type="dxa"/>
            <w:tcBorders>
              <w:bottom w:val="single" w:sz="4" w:space="0" w:color="auto"/>
            </w:tcBorders>
            <w:shd w:val="clear" w:color="auto" w:fill="auto"/>
            <w:noWrap/>
            <w:vAlign w:val="bottom"/>
            <w:hideMark/>
          </w:tcPr>
          <w:p w14:paraId="324982B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15.56%</w:t>
            </w:r>
          </w:p>
        </w:tc>
        <w:tc>
          <w:tcPr>
            <w:tcW w:w="434" w:type="dxa"/>
            <w:tcBorders>
              <w:bottom w:val="single" w:sz="4" w:space="0" w:color="auto"/>
            </w:tcBorders>
            <w:shd w:val="clear" w:color="auto" w:fill="auto"/>
            <w:noWrap/>
            <w:vAlign w:val="center"/>
            <w:hideMark/>
          </w:tcPr>
          <w:p w14:paraId="492815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771" w:type="dxa"/>
            <w:tcBorders>
              <w:bottom w:val="single" w:sz="4" w:space="0" w:color="auto"/>
            </w:tcBorders>
            <w:shd w:val="clear" w:color="auto" w:fill="auto"/>
            <w:noWrap/>
            <w:vAlign w:val="bottom"/>
            <w:hideMark/>
          </w:tcPr>
          <w:p w14:paraId="21BE348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16.18%</w:t>
            </w:r>
          </w:p>
        </w:tc>
        <w:tc>
          <w:tcPr>
            <w:tcW w:w="486" w:type="dxa"/>
            <w:tcBorders>
              <w:bottom w:val="single" w:sz="4" w:space="0" w:color="auto"/>
            </w:tcBorders>
            <w:shd w:val="clear" w:color="auto" w:fill="auto"/>
          </w:tcPr>
          <w:p w14:paraId="18F1EDB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83</w:t>
            </w:r>
          </w:p>
        </w:tc>
        <w:tc>
          <w:tcPr>
            <w:tcW w:w="771" w:type="dxa"/>
            <w:tcBorders>
              <w:bottom w:val="single" w:sz="4" w:space="0" w:color="auto"/>
            </w:tcBorders>
            <w:shd w:val="clear" w:color="auto" w:fill="auto"/>
          </w:tcPr>
          <w:p w14:paraId="14397B0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15.84%</w:t>
            </w:r>
          </w:p>
        </w:tc>
      </w:tr>
    </w:tbl>
    <w:p w14:paraId="034266E8" w14:textId="77777777" w:rsidR="00976422" w:rsidRPr="00976422" w:rsidRDefault="00976422" w:rsidP="00976422">
      <w:pPr>
        <w:spacing w:after="0" w:line="360" w:lineRule="auto"/>
        <w:jc w:val="both"/>
        <w:rPr>
          <w:rStyle w:val="Strong"/>
          <w:rFonts w:ascii="Times New Roman" w:hAnsi="Times New Roman" w:cs="Times New Roman"/>
          <w:sz w:val="10"/>
          <w:szCs w:val="10"/>
        </w:rPr>
      </w:pPr>
    </w:p>
    <w:p w14:paraId="3AA6134D" w14:textId="0C908BD9" w:rsidR="00F5334D" w:rsidRDefault="00976422" w:rsidP="00EE3360">
      <w:pPr>
        <w:spacing w:after="0" w:line="360" w:lineRule="auto"/>
        <w:ind w:firstLine="567"/>
        <w:jc w:val="both"/>
        <w:rPr>
          <w:rStyle w:val="Strong"/>
          <w:rFonts w:ascii="Times New Roman" w:hAnsi="Times New Roman" w:cs="Times New Roman"/>
          <w:b w:val="0"/>
          <w:sz w:val="20"/>
          <w:szCs w:val="20"/>
        </w:rPr>
      </w:pPr>
      <w:r w:rsidRPr="00EE3360">
        <w:rPr>
          <w:rStyle w:val="Strong"/>
          <w:rFonts w:ascii="Times New Roman" w:hAnsi="Times New Roman" w:cs="Times New Roman"/>
          <w:b w:val="0"/>
          <w:sz w:val="20"/>
          <w:szCs w:val="20"/>
        </w:rPr>
        <w:t>Note.</w:t>
      </w:r>
      <w:r w:rsidRPr="00976422">
        <w:rPr>
          <w:rFonts w:ascii="Times New Roman" w:hAnsi="Times New Roman" w:cs="Times New Roman"/>
          <w:sz w:val="20"/>
          <w:szCs w:val="20"/>
        </w:rPr>
        <w:t xml:space="preserve"> Non-recidivists are individuals convicted of sexual offences who are not repeat offenders. Recidivists for other sexual offences are individuals convicted of sexual offences who have reoffended by committing sexual offences other than rape. Recidivists for the criminal offence of rape are individuals convicted of sexual offences who have reoffended by committing the criminal offence of rape. </w:t>
      </w:r>
      <w:r w:rsidRPr="00EE3360">
        <w:rPr>
          <w:rStyle w:val="Strong"/>
          <w:rFonts w:ascii="Times New Roman" w:hAnsi="Times New Roman" w:cs="Times New Roman"/>
          <w:b w:val="0"/>
          <w:sz w:val="20"/>
          <w:szCs w:val="20"/>
        </w:rPr>
        <w:t>DF = 2.</w:t>
      </w:r>
    </w:p>
    <w:p w14:paraId="2051BDAE" w14:textId="140B65E1" w:rsidR="00A76F24" w:rsidRDefault="00A76F24" w:rsidP="00EE3360">
      <w:pPr>
        <w:spacing w:after="0" w:line="360" w:lineRule="auto"/>
        <w:ind w:firstLine="567"/>
        <w:jc w:val="both"/>
        <w:rPr>
          <w:rStyle w:val="Strong"/>
          <w:rFonts w:ascii="Times New Roman" w:hAnsi="Times New Roman" w:cs="Times New Roman"/>
          <w:b w:val="0"/>
          <w:sz w:val="20"/>
          <w:szCs w:val="20"/>
        </w:rPr>
      </w:pPr>
    </w:p>
    <w:p w14:paraId="14501EC4" w14:textId="7F8D83A7" w:rsidR="00A76F24" w:rsidRDefault="00A76F24" w:rsidP="00EE3360">
      <w:pPr>
        <w:spacing w:after="0" w:line="360" w:lineRule="auto"/>
        <w:ind w:firstLine="567"/>
        <w:jc w:val="both"/>
        <w:rPr>
          <w:rStyle w:val="Strong"/>
          <w:rFonts w:ascii="Times New Roman" w:hAnsi="Times New Roman" w:cs="Times New Roman"/>
          <w:b w:val="0"/>
          <w:sz w:val="20"/>
          <w:szCs w:val="20"/>
        </w:rPr>
      </w:pPr>
    </w:p>
    <w:p w14:paraId="7300A25D" w14:textId="77777777" w:rsidR="00A76F24" w:rsidRDefault="00A76F24" w:rsidP="00EE3360">
      <w:pPr>
        <w:spacing w:after="0" w:line="360" w:lineRule="auto"/>
        <w:ind w:firstLine="567"/>
        <w:jc w:val="both"/>
        <w:rPr>
          <w:rStyle w:val="Strong"/>
          <w:rFonts w:ascii="Times New Roman" w:hAnsi="Times New Roman" w:cs="Times New Roman"/>
          <w:sz w:val="20"/>
          <w:szCs w:val="20"/>
        </w:rPr>
      </w:pPr>
    </w:p>
    <w:p w14:paraId="544F8138" w14:textId="4126B053" w:rsidR="00976422" w:rsidRDefault="00976422" w:rsidP="00976422">
      <w:pPr>
        <w:spacing w:after="0" w:line="360" w:lineRule="auto"/>
        <w:jc w:val="both"/>
        <w:rPr>
          <w:rFonts w:ascii="Times New Roman" w:hAnsi="Times New Roman" w:cs="Times New Roman"/>
          <w:sz w:val="20"/>
          <w:szCs w:val="20"/>
        </w:rPr>
      </w:pPr>
    </w:p>
    <w:p w14:paraId="044724B7" w14:textId="7E6B5C01" w:rsidR="00A76F24" w:rsidRDefault="00A76F24" w:rsidP="00976422">
      <w:pPr>
        <w:spacing w:after="0" w:line="360" w:lineRule="auto"/>
        <w:jc w:val="both"/>
        <w:rPr>
          <w:rFonts w:ascii="Times New Roman" w:hAnsi="Times New Roman" w:cs="Times New Roman"/>
          <w:sz w:val="20"/>
          <w:szCs w:val="20"/>
        </w:rPr>
      </w:pPr>
    </w:p>
    <w:p w14:paraId="77B59A5B" w14:textId="77777777" w:rsidR="00A76F24" w:rsidRPr="00976422" w:rsidRDefault="00A76F24" w:rsidP="00976422">
      <w:pPr>
        <w:spacing w:after="0" w:line="360" w:lineRule="auto"/>
        <w:jc w:val="both"/>
        <w:rPr>
          <w:rFonts w:ascii="Times New Roman" w:hAnsi="Times New Roman" w:cs="Times New Roman"/>
          <w:sz w:val="20"/>
          <w:szCs w:val="20"/>
        </w:rPr>
      </w:pPr>
    </w:p>
    <w:p w14:paraId="66488931" w14:textId="15AE018B" w:rsidR="00F5334D" w:rsidRPr="00E2464D" w:rsidRDefault="00275740" w:rsidP="00275740">
      <w:pPr>
        <w:spacing w:after="0" w:line="360" w:lineRule="auto"/>
        <w:jc w:val="center"/>
        <w:rPr>
          <w:rFonts w:ascii="Times New Roman" w:hAnsi="Times New Roman" w:cs="Times New Roman"/>
          <w:bCs/>
          <w:i/>
          <w:sz w:val="24"/>
          <w:szCs w:val="24"/>
          <w:lang w:val="sr-Latn-CS"/>
        </w:rPr>
      </w:pPr>
      <w:r w:rsidRPr="00E2464D">
        <w:rPr>
          <w:rFonts w:ascii="Times New Roman" w:hAnsi="Times New Roman" w:cs="Times New Roman"/>
          <w:bCs/>
          <w:i/>
          <w:sz w:val="24"/>
          <w:szCs w:val="24"/>
          <w:lang w:val="sr-Latn-CS"/>
        </w:rPr>
        <w:t>Study Limitations</w:t>
      </w:r>
    </w:p>
    <w:p w14:paraId="4F7DF65B" w14:textId="77777777" w:rsidR="00275740" w:rsidRPr="00E2464D" w:rsidRDefault="00275740" w:rsidP="00275740">
      <w:pPr>
        <w:spacing w:after="0" w:line="360" w:lineRule="auto"/>
        <w:jc w:val="center"/>
        <w:rPr>
          <w:rFonts w:ascii="Times New Roman" w:hAnsi="Times New Roman" w:cs="Times New Roman"/>
          <w:sz w:val="10"/>
          <w:szCs w:val="10"/>
        </w:rPr>
      </w:pPr>
    </w:p>
    <w:p w14:paraId="209EE1BF" w14:textId="77777777" w:rsidR="003F6385" w:rsidRPr="00E2464D" w:rsidRDefault="003F6385" w:rsidP="00DF6FBF">
      <w:pPr>
        <w:pStyle w:val="NormalWeb"/>
        <w:spacing w:before="0" w:beforeAutospacing="0" w:after="0" w:afterAutospacing="0" w:line="360" w:lineRule="auto"/>
        <w:ind w:firstLine="567"/>
        <w:jc w:val="both"/>
      </w:pPr>
      <w:r w:rsidRPr="00E2464D">
        <w:t>Research based on static factors, such as demographic and criminological data, has several limitations. Although static factors allow for the identification of individuals at elevated risk, they do not provide precise predictions of future recidivism and fail to account for changes in personal characteristics or environmental conditions over time. Moreover, reliance solely on static factors limits the understanding of causal mechanisms and intervention possibilities, which require the inclusion of dynamic risk factors.</w:t>
      </w:r>
    </w:p>
    <w:p w14:paraId="0A473016" w14:textId="77777777" w:rsidR="003F6385" w:rsidRPr="00E2464D" w:rsidRDefault="003F6385" w:rsidP="00DF6FBF">
      <w:pPr>
        <w:pStyle w:val="NormalWeb"/>
        <w:spacing w:before="0" w:beforeAutospacing="0" w:after="0" w:afterAutospacing="0" w:line="360" w:lineRule="auto"/>
        <w:ind w:firstLine="567"/>
        <w:jc w:val="both"/>
      </w:pPr>
      <w:r w:rsidRPr="00E2464D">
        <w:t>At the same time, static factors offer important practical advantages, particularly in terms of data availability and reliability. In contexts characterized by limited resources, a lack of standardized assessment instruments, and restricted access to data on dynamic factors, static indicators can still provide useful risk-related information, especially for judicial decision-making. Their stability is further ensured by the fact that they are derived from officially recorded and adjudicated offenses.</w:t>
      </w:r>
    </w:p>
    <w:p w14:paraId="042D675D" w14:textId="1B4B9EE3" w:rsidR="00DF6FBF" w:rsidRPr="00E2464D" w:rsidRDefault="003F6385" w:rsidP="006438CF">
      <w:pPr>
        <w:pStyle w:val="NormalWeb"/>
        <w:spacing w:before="0" w:beforeAutospacing="0" w:after="0" w:afterAutospacing="0" w:line="360" w:lineRule="auto"/>
        <w:ind w:firstLine="567"/>
        <w:jc w:val="both"/>
      </w:pPr>
      <w:r w:rsidRPr="00E2464D">
        <w:t>Finally, recidivism data in the present study were based exclusively on official records of prior convictions, without the possibility of post-release follow-up. Consequently, the findings do not represent longitudinal recidivism rates, a limitation that should be considered when in</w:t>
      </w:r>
      <w:r w:rsidR="006438CF">
        <w:t>terpreting the study’s results.</w:t>
      </w:r>
    </w:p>
    <w:p w14:paraId="7D046F33" w14:textId="2E5955A0" w:rsidR="00920FA0" w:rsidRPr="00E2464D" w:rsidRDefault="00920FA0" w:rsidP="00926908">
      <w:pPr>
        <w:spacing w:after="0" w:line="360" w:lineRule="auto"/>
        <w:jc w:val="both"/>
        <w:rPr>
          <w:rFonts w:ascii="Times New Roman" w:eastAsia="Times New Roman" w:hAnsi="Times New Roman" w:cs="Times New Roman"/>
          <w:sz w:val="10"/>
          <w:szCs w:val="10"/>
          <w:lang w:val="sr-Latn-CS" w:eastAsia="sr-Latn-CS"/>
        </w:rPr>
      </w:pPr>
    </w:p>
    <w:p w14:paraId="63511D5D" w14:textId="0DA0399B" w:rsidR="000C1FC6" w:rsidRPr="00E2464D" w:rsidRDefault="0039734C" w:rsidP="00CA0156">
      <w:pPr>
        <w:spacing w:after="0" w:line="360" w:lineRule="auto"/>
        <w:jc w:val="center"/>
        <w:outlineLvl w:val="1"/>
        <w:rPr>
          <w:rFonts w:ascii="Times New Roman" w:eastAsia="Times New Roman" w:hAnsi="Times New Roman" w:cs="Times New Roman"/>
          <w:bCs/>
          <w:i/>
          <w:sz w:val="24"/>
          <w:szCs w:val="24"/>
          <w:lang w:val="sr-Latn-CS" w:eastAsia="sr-Latn-CS"/>
        </w:rPr>
      </w:pPr>
      <w:r w:rsidRPr="00E2464D">
        <w:rPr>
          <w:rFonts w:ascii="Times New Roman" w:eastAsia="Times New Roman" w:hAnsi="Times New Roman" w:cs="Times New Roman"/>
          <w:bCs/>
          <w:i/>
          <w:sz w:val="24"/>
          <w:szCs w:val="24"/>
          <w:lang w:eastAsia="sr-Latn-CS"/>
        </w:rPr>
        <w:t>DISCUSSION AND CONCLUSIONS</w:t>
      </w:r>
    </w:p>
    <w:p w14:paraId="7F2CFAEA" w14:textId="646B52CB" w:rsidR="00D90DE2" w:rsidRPr="00E2464D" w:rsidRDefault="00D90DE2" w:rsidP="00D90DE2">
      <w:pPr>
        <w:rPr>
          <w:sz w:val="10"/>
          <w:szCs w:val="10"/>
        </w:rPr>
      </w:pPr>
    </w:p>
    <w:p w14:paraId="15C66CC3" w14:textId="77777777" w:rsidR="007860F0" w:rsidRPr="003F06C8" w:rsidRDefault="007860F0" w:rsidP="007860F0">
      <w:pPr>
        <w:pStyle w:val="NormalWeb"/>
        <w:spacing w:before="0" w:beforeAutospacing="0" w:after="0" w:afterAutospacing="0" w:line="360" w:lineRule="auto"/>
        <w:ind w:firstLine="567"/>
        <w:jc w:val="both"/>
      </w:pPr>
      <w:r w:rsidRPr="00E2464D">
        <w:t xml:space="preserve">This retrospective study, conducted on a sample of 560 convicted rapists in the Republic of Serbia between 2014 and 2023, examined the association between static and dynamic factors and the risk of recidivism. The findings provide important insights into the profiles of convicted rapists and </w:t>
      </w:r>
      <w:r w:rsidRPr="003F06C8">
        <w:t>identify factors relevant to improving risk assessment and treatment strategies.</w:t>
      </w:r>
    </w:p>
    <w:p w14:paraId="67DF8EBC" w14:textId="62894F6F" w:rsidR="00C36F8E" w:rsidRPr="003F06C8" w:rsidRDefault="00C36F8E" w:rsidP="007860F0">
      <w:pPr>
        <w:pStyle w:val="NormalWeb"/>
        <w:spacing w:before="0" w:beforeAutospacing="0" w:after="0" w:afterAutospacing="0" w:line="360" w:lineRule="auto"/>
        <w:ind w:firstLine="567"/>
        <w:jc w:val="both"/>
      </w:pPr>
      <w:r w:rsidRPr="003F06C8">
        <w:t>Among the analysed static characteristics, age emerged as a relevant characteristic, with individuals who reoffended by committing other sexual offences (excluding rape) being, on average, somewhat older than non-recidivists. This finding does not indicate an increase in the risk of recidivism with advancing age, but rather reflects the age structure of a specific subgroup of offenders. In line with contemporary findings in the literature, it is often noted that the risk of recidivism tends to decrease with increasing age, albeit with substantial contextual and group-specific variation, within the framework of the so-called age</w:t>
      </w:r>
      <w:r w:rsidR="000863FC" w:rsidRPr="003F06C8">
        <w:t>-</w:t>
      </w:r>
      <w:r w:rsidRPr="003F06C8">
        <w:t>crime curve (e.g., Steffensmeier et al., 2025). In contrast, educational level, marital status, and the length of the served prison sentence did not differentiate the analysed groups, confirming their limited predictive value and indicating that the length of imprisonment alone does not constitute a significant risk factor for reoffending.</w:t>
      </w:r>
    </w:p>
    <w:p w14:paraId="5BEB4838" w14:textId="6F11B219" w:rsidR="007860F0" w:rsidRPr="003F06C8" w:rsidRDefault="007860F0" w:rsidP="007860F0">
      <w:pPr>
        <w:pStyle w:val="NormalWeb"/>
        <w:spacing w:before="0" w:beforeAutospacing="0" w:after="0" w:afterAutospacing="0" w:line="360" w:lineRule="auto"/>
        <w:ind w:firstLine="567"/>
        <w:jc w:val="both"/>
        <w:rPr>
          <w:lang w:val="sr-Latn-RS"/>
        </w:rPr>
      </w:pPr>
      <w:r w:rsidRPr="003F06C8">
        <w:t>Dynamic factors showed a stronger association with recidivism. Personality disorders were significantly more prevalent among recidivists, particularly among those who reoffended with other sexual offenses, underscoring the role of psychopathology in the persistence of criminal behavior. Employment emerged as a protective factor, highlighting the importance of social stabilization in preventing recidivism. Participation in specialized rehabilitation programs, especially anger management interventions, was more common among recidivists convicted of rape, which may indicate the need for more intensive interventions for high-risk offenders. However, these findings do not allow conclusions regarding the causal effectiveness of treatment, given the absence of longitudinal data.</w:t>
      </w:r>
    </w:p>
    <w:p w14:paraId="25977C6C" w14:textId="77777777" w:rsidR="00C36F8E" w:rsidRPr="003F06C8" w:rsidRDefault="00C36F8E" w:rsidP="00C36F8E">
      <w:pPr>
        <w:spacing w:after="0" w:line="360" w:lineRule="auto"/>
        <w:ind w:firstLine="567"/>
        <w:jc w:val="both"/>
        <w:rPr>
          <w:rFonts w:ascii="Times New Roman" w:hAnsi="Times New Roman" w:cs="Times New Roman"/>
          <w:sz w:val="24"/>
          <w:szCs w:val="24"/>
        </w:rPr>
      </w:pPr>
      <w:r w:rsidRPr="003F06C8">
        <w:rPr>
          <w:rFonts w:ascii="Times New Roman" w:hAnsi="Times New Roman" w:cs="Times New Roman"/>
          <w:sz w:val="24"/>
          <w:szCs w:val="24"/>
        </w:rPr>
        <w:t>Overall, the findings highlight the importance of an integrated approach that combines static and dynamic risk indicators within the framework of the execution of criminal sanctions. Although all analysed individuals have already been convicted and are serving prison sentences, static characteristics allow for a more differentiated understanding of the heterogeneity of the convicted population and the identification of subgroups at an increased risk of reoffending after release, while dynamic factors constitute a key basis for the planning and implementation of targeted rehabilitative interventions. In this context, the findings also point to the need for a critical reconsideration of the average length of prison sentences imposed for the criminal offence of rape, given that sentence length alone, in the absence of consistent and substantive implementation of rehabilitation programmes, has limited effectiveness in preventing recidivism. In particular, the results underscore the need for systematic identification and treatment of personality disorders, as well as the importance of promoting employment and social integration of convicted individuals as key elements of risk management aimed at preventing reoffending.</w:t>
      </w:r>
    </w:p>
    <w:p w14:paraId="33BFBEE8" w14:textId="7BD7D96B" w:rsidR="006438CF" w:rsidRPr="000863FC" w:rsidRDefault="00C36F8E" w:rsidP="000863FC">
      <w:pPr>
        <w:spacing w:after="0" w:line="360" w:lineRule="auto"/>
        <w:ind w:firstLine="567"/>
        <w:jc w:val="both"/>
        <w:rPr>
          <w:rFonts w:ascii="Times New Roman" w:hAnsi="Times New Roman" w:cs="Times New Roman"/>
          <w:sz w:val="24"/>
          <w:szCs w:val="24"/>
        </w:rPr>
      </w:pPr>
      <w:r w:rsidRPr="003F06C8">
        <w:rPr>
          <w:rFonts w:ascii="Times New Roman" w:hAnsi="Times New Roman" w:cs="Times New Roman"/>
          <w:sz w:val="24"/>
          <w:szCs w:val="24"/>
        </w:rPr>
        <w:t>This study represents a significant empirical contribution to the examination of offenders convicted of the criminal offence of rape in the Republic of Serbia, particularly in that it distinguishes between sexual, violent, and general recidivism on the basis of institutional data. The findings provide a basis for improving risk assessment procedures, developing more precise treatment protocols, and shaping criminal justice policies aimed at risk management and the rehabilitation of sexual offenders. Further research incorporating post-release follow-up is necessary</w:t>
      </w:r>
      <w:r w:rsidRPr="00C36F8E">
        <w:rPr>
          <w:rFonts w:ascii="Times New Roman" w:hAnsi="Times New Roman" w:cs="Times New Roman"/>
          <w:sz w:val="24"/>
          <w:szCs w:val="24"/>
        </w:rPr>
        <w:t xml:space="preserve"> to enhance understanding of long-term recidivism patterns and treatment outcomes.</w:t>
      </w:r>
    </w:p>
    <w:p w14:paraId="226F7603" w14:textId="77777777" w:rsidR="00175894" w:rsidRPr="00AF677A" w:rsidRDefault="00175894" w:rsidP="00175894">
      <w:pPr>
        <w:spacing w:after="0" w:line="360" w:lineRule="auto"/>
        <w:jc w:val="center"/>
        <w:rPr>
          <w:rFonts w:ascii="Times New Roman" w:eastAsia="Times New Roman" w:hAnsi="Times New Roman" w:cs="Times New Roman"/>
          <w:i/>
          <w:sz w:val="24"/>
          <w:szCs w:val="24"/>
          <w:lang w:val="sr-Latn-CS" w:eastAsia="sr-Latn-CS"/>
        </w:rPr>
      </w:pPr>
      <w:r w:rsidRPr="00AF677A">
        <w:rPr>
          <w:rFonts w:ascii="Times New Roman" w:eastAsia="Times New Roman" w:hAnsi="Times New Roman" w:cs="Times New Roman"/>
          <w:bCs/>
          <w:i/>
          <w:sz w:val="24"/>
          <w:szCs w:val="24"/>
          <w:lang w:val="sr-Latn-CS" w:eastAsia="sr-Latn-CS"/>
        </w:rPr>
        <w:t>REFERENCES</w:t>
      </w:r>
    </w:p>
    <w:p w14:paraId="290F1414" w14:textId="77777777" w:rsidR="00175894" w:rsidRPr="00EF6DA5" w:rsidRDefault="00175894" w:rsidP="00175894">
      <w:pPr>
        <w:spacing w:after="0" w:line="360" w:lineRule="auto"/>
        <w:jc w:val="both"/>
        <w:rPr>
          <w:rFonts w:ascii="Times New Roman" w:eastAsia="Times New Roman" w:hAnsi="Times New Roman" w:cs="Times New Roman"/>
          <w:sz w:val="10"/>
          <w:szCs w:val="10"/>
          <w:lang w:val="sr-Latn-CS" w:eastAsia="sr-Latn-CS"/>
        </w:rPr>
      </w:pPr>
    </w:p>
    <w:p w14:paraId="42820594"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Baić, V., Ivanović, Z., &amp; Oljača, M. (2019a).</w:t>
      </w:r>
      <w:r>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sz w:val="24"/>
          <w:szCs w:val="24"/>
          <w:lang w:val="sr-Latn-CS" w:eastAsia="sr-Latn-CS"/>
        </w:rPr>
        <w:t>Exploitation of mi</w:t>
      </w:r>
      <w:r>
        <w:rPr>
          <w:rFonts w:ascii="Times New Roman" w:eastAsia="Times New Roman" w:hAnsi="Times New Roman" w:cs="Times New Roman"/>
          <w:sz w:val="24"/>
          <w:szCs w:val="24"/>
          <w:lang w:val="sr-Latn-CS" w:eastAsia="sr-Latn-CS"/>
        </w:rPr>
        <w:t>nors for pornographic purposes -</w:t>
      </w:r>
      <w:r w:rsidRPr="00012625">
        <w:rPr>
          <w:rFonts w:ascii="Times New Roman" w:eastAsia="Times New Roman" w:hAnsi="Times New Roman" w:cs="Times New Roman"/>
          <w:sz w:val="24"/>
          <w:szCs w:val="24"/>
          <w:lang w:val="sr-Latn-CS" w:eastAsia="sr-Latn-CS"/>
        </w:rPr>
        <w:t xml:space="preserve"> Sociodemographic and crimi</w:t>
      </w:r>
      <w:r>
        <w:rPr>
          <w:rFonts w:ascii="Times New Roman" w:eastAsia="Times New Roman" w:hAnsi="Times New Roman" w:cs="Times New Roman"/>
          <w:sz w:val="24"/>
          <w:szCs w:val="24"/>
          <w:lang w:val="sr-Latn-CS" w:eastAsia="sr-Latn-CS"/>
        </w:rPr>
        <w:t>nal profile of the perpetrator.</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Journal of Criminalistics and Law, </w:t>
      </w:r>
      <w:r w:rsidRPr="0071273B">
        <w:rPr>
          <w:rFonts w:ascii="Times New Roman" w:eastAsia="Times New Roman" w:hAnsi="Times New Roman" w:cs="Times New Roman"/>
          <w:iCs/>
          <w:sz w:val="24"/>
          <w:szCs w:val="24"/>
          <w:lang w:val="sr-Latn-CS" w:eastAsia="sr-Latn-CS"/>
        </w:rPr>
        <w:t>24</w:t>
      </w:r>
      <w:r w:rsidRPr="0071273B">
        <w:rPr>
          <w:rFonts w:ascii="Times New Roman" w:eastAsia="Times New Roman" w:hAnsi="Times New Roman" w:cs="Times New Roman"/>
          <w:sz w:val="24"/>
          <w:szCs w:val="24"/>
          <w:lang w:val="sr-Latn-CS" w:eastAsia="sr-Latn-CS"/>
        </w:rPr>
        <w:t>(</w:t>
      </w:r>
      <w:r w:rsidRPr="00012625">
        <w:rPr>
          <w:rFonts w:ascii="Times New Roman" w:eastAsia="Times New Roman" w:hAnsi="Times New Roman" w:cs="Times New Roman"/>
          <w:sz w:val="24"/>
          <w:szCs w:val="24"/>
          <w:lang w:val="sr-Latn-CS" w:eastAsia="sr-Latn-CS"/>
        </w:rPr>
        <w:t>2), 29–44.</w:t>
      </w:r>
      <w:r w:rsidRPr="00977212">
        <w:t xml:space="preserve"> </w:t>
      </w:r>
      <w:r w:rsidRPr="00977212">
        <w:rPr>
          <w:rFonts w:ascii="Times New Roman" w:eastAsia="Times New Roman" w:hAnsi="Times New Roman" w:cs="Times New Roman"/>
          <w:sz w:val="24"/>
          <w:szCs w:val="24"/>
          <w:lang w:val="sr-Latn-CS" w:eastAsia="sr-Latn-CS"/>
        </w:rPr>
        <w:t>doi:10.5937/nabepo24-22247</w:t>
      </w:r>
    </w:p>
    <w:p w14:paraId="111CCF18"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Baić, V., Kolarević, D., &amp; Gojković, V. (2015)</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Spatio-temporal analysis of the criminal behavi</w:t>
      </w:r>
      <w:r>
        <w:rPr>
          <w:rFonts w:ascii="Times New Roman" w:eastAsia="Times New Roman" w:hAnsi="Times New Roman" w:cs="Times New Roman"/>
          <w:sz w:val="24"/>
          <w:szCs w:val="24"/>
          <w:lang w:val="sr-Latn-CS" w:eastAsia="sr-Latn-CS"/>
        </w:rPr>
        <w:t>or of sexual offenders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Thematic Collection of Papers: Criminalistic and Forensic Processing of Crime Scenes</w:t>
      </w:r>
      <w:r w:rsidRPr="00775D47">
        <w:rPr>
          <w:rFonts w:ascii="Times New Roman" w:eastAsia="Times New Roman" w:hAnsi="Times New Roman" w:cs="Times New Roman"/>
          <w:sz w:val="24"/>
          <w:szCs w:val="24"/>
          <w:lang w:val="sr-Latn-CS" w:eastAsia="sr-Latn-CS"/>
        </w:rPr>
        <w:t>. Academy of Criminalistic and Police Studies, Belgrade, 37–46.</w:t>
      </w:r>
    </w:p>
    <w:p w14:paraId="19417468"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 xml:space="preserve">Baić, V., &amp; Lajić, O. (2017). </w:t>
      </w:r>
      <w:r w:rsidRPr="00775D47">
        <w:rPr>
          <w:rFonts w:ascii="Times New Roman" w:eastAsia="Times New Roman" w:hAnsi="Times New Roman" w:cs="Times New Roman"/>
          <w:sz w:val="24"/>
          <w:szCs w:val="24"/>
          <w:lang w:val="sr-Latn-CS" w:eastAsia="sr-Latn-CS"/>
        </w:rPr>
        <w:t>Analysis of criminal behaviour of serial perpetrators</w:t>
      </w:r>
      <w:r>
        <w:rPr>
          <w:rFonts w:ascii="Times New Roman" w:eastAsia="Times New Roman" w:hAnsi="Times New Roman" w:cs="Times New Roman"/>
          <w:sz w:val="24"/>
          <w:szCs w:val="24"/>
          <w:lang w:val="sr-Latn-CS" w:eastAsia="sr-Latn-CS"/>
        </w:rPr>
        <w:t xml:space="preserve"> of the crime of rape</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Criminalistics and Law</w:t>
      </w:r>
      <w:r w:rsidRPr="00775D47">
        <w:rPr>
          <w:rFonts w:ascii="Times New Roman" w:eastAsia="Times New Roman" w:hAnsi="Times New Roman" w:cs="Times New Roman"/>
          <w:sz w:val="24"/>
          <w:szCs w:val="24"/>
          <w:lang w:val="sr-Latn-CS" w:eastAsia="sr-Latn-CS"/>
        </w:rPr>
        <w:t>, 1, 33–51.</w:t>
      </w:r>
      <w:r w:rsidRPr="00977212">
        <w:t xml:space="preserve"> </w:t>
      </w:r>
      <w:r>
        <w:rPr>
          <w:rFonts w:ascii="Times New Roman" w:eastAsia="Times New Roman" w:hAnsi="Times New Roman" w:cs="Times New Roman"/>
          <w:sz w:val="24"/>
          <w:szCs w:val="24"/>
          <w:lang w:val="sr-Latn-RS" w:eastAsia="sr-Latn-CS"/>
        </w:rPr>
        <w:t>doi</w:t>
      </w:r>
      <w:r>
        <w:rPr>
          <w:rFonts w:ascii="Times New Roman" w:eastAsia="Times New Roman" w:hAnsi="Times New Roman" w:cs="Times New Roman"/>
          <w:sz w:val="24"/>
          <w:szCs w:val="24"/>
          <w:lang w:val="sr-Latn-CS" w:eastAsia="sr-Latn-CS"/>
        </w:rPr>
        <w:t>:</w:t>
      </w:r>
      <w:r w:rsidRPr="00977212">
        <w:rPr>
          <w:rFonts w:ascii="Times New Roman" w:eastAsia="Times New Roman" w:hAnsi="Times New Roman" w:cs="Times New Roman"/>
          <w:sz w:val="24"/>
          <w:szCs w:val="24"/>
          <w:lang w:val="sr-Latn-CS" w:eastAsia="sr-Latn-CS"/>
        </w:rPr>
        <w:t>10.5937/nabepo22-13316</w:t>
      </w:r>
    </w:p>
    <w:p w14:paraId="7F1B8575" w14:textId="69007791" w:rsidR="00175894"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Baić, V., Lajić, O., &amp; Ivanović, Z. (2019</w:t>
      </w:r>
      <w:r>
        <w:rPr>
          <w:rFonts w:ascii="Times New Roman" w:eastAsia="Times New Roman" w:hAnsi="Times New Roman" w:cs="Times New Roman"/>
          <w:sz w:val="24"/>
          <w:szCs w:val="24"/>
          <w:lang w:val="sr-Latn-CS" w:eastAsia="sr-Latn-CS"/>
        </w:rPr>
        <w:t>b</w:t>
      </w:r>
      <w:r w:rsidRPr="00775D47">
        <w:rPr>
          <w:rFonts w:ascii="Times New Roman" w:eastAsia="Times New Roman" w:hAnsi="Times New Roman" w:cs="Times New Roman"/>
          <w:sz w:val="24"/>
          <w:szCs w:val="24"/>
          <w:lang w:val="sr-Latn-CS" w:eastAsia="sr-Latn-CS"/>
        </w:rPr>
        <w:t>)</w:t>
      </w:r>
      <w:r>
        <w:rPr>
          <w:rFonts w:ascii="Times New Roman" w:eastAsia="Times New Roman" w:hAnsi="Times New Roman" w:cs="Times New Roman"/>
          <w:sz w:val="24"/>
          <w:szCs w:val="24"/>
          <w:lang w:val="sr-Latn-CS" w:eastAsia="sr-Latn-CS"/>
        </w:rPr>
        <w:t>. Sexual fantasies of the rapist</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Trames: Journal of the Humanities and Social Sciences</w:t>
      </w:r>
      <w:r w:rsidRPr="00775D47">
        <w:rPr>
          <w:rFonts w:ascii="Times New Roman" w:eastAsia="Times New Roman" w:hAnsi="Times New Roman" w:cs="Times New Roman"/>
          <w:sz w:val="24"/>
          <w:szCs w:val="24"/>
          <w:lang w:val="sr-Latn-CS" w:eastAsia="sr-Latn-CS"/>
        </w:rPr>
        <w:t>, 23(4), 439–454.</w:t>
      </w:r>
      <w:r w:rsidRPr="00977212">
        <w:rPr>
          <w:rFonts w:ascii="Times New Roman" w:eastAsia="Times New Roman" w:hAnsi="Times New Roman" w:cs="Times New Roman"/>
          <w:sz w:val="24"/>
          <w:szCs w:val="24"/>
          <w:lang w:val="sr-Latn-CS" w:eastAsia="sr-Latn-CS"/>
        </w:rPr>
        <w:t xml:space="preserve"> </w:t>
      </w:r>
      <w:hyperlink r:id="rId9" w:tgtFrame="_new" w:history="1">
        <w:r w:rsidRPr="00977212">
          <w:rPr>
            <w:rFonts w:ascii="Times New Roman" w:eastAsia="Times New Roman" w:hAnsi="Times New Roman" w:cs="Times New Roman"/>
            <w:sz w:val="24"/>
            <w:szCs w:val="24"/>
            <w:lang w:val="sr-Latn-CS" w:eastAsia="sr-Latn-CS"/>
          </w:rPr>
          <w:t>doi.org/10.3176/tr.2019.4.04</w:t>
        </w:r>
      </w:hyperlink>
    </w:p>
    <w:p w14:paraId="51F7DCDA" w14:textId="68A89386" w:rsidR="000F7456" w:rsidRPr="000F7456" w:rsidRDefault="000F7456" w:rsidP="000F7456">
      <w:pPr>
        <w:spacing w:after="0" w:line="36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Bodrožić, I. (2019). </w:t>
      </w:r>
      <w:r w:rsidRPr="0071273B">
        <w:rPr>
          <w:rFonts w:ascii="Times New Roman" w:eastAsia="Calibri" w:hAnsi="Times New Roman" w:cs="Times New Roman"/>
          <w:i/>
          <w:sz w:val="24"/>
          <w:szCs w:val="24"/>
        </w:rPr>
        <w:t>Institut „tri udarca“ - opravdanost ili ne</w:t>
      </w:r>
      <w:r w:rsidRPr="0071273B">
        <w:rPr>
          <w:rFonts w:ascii="Times New Roman" w:eastAsia="Calibri" w:hAnsi="Times New Roman" w:cs="Times New Roman"/>
          <w:sz w:val="24"/>
          <w:szCs w:val="24"/>
        </w:rPr>
        <w:t>. In S. Bejatović (Ed.), Izmene u</w:t>
      </w:r>
      <w:r>
        <w:rPr>
          <w:rFonts w:ascii="Times New Roman" w:eastAsia="Calibri" w:hAnsi="Times New Roman" w:cs="Times New Roman"/>
          <w:sz w:val="24"/>
          <w:szCs w:val="24"/>
        </w:rPr>
        <w:t xml:space="preserve"> </w:t>
      </w:r>
      <w:r w:rsidRPr="0071273B">
        <w:rPr>
          <w:rFonts w:ascii="Times New Roman" w:eastAsia="Calibri" w:hAnsi="Times New Roman" w:cs="Times New Roman"/>
          <w:sz w:val="24"/>
          <w:szCs w:val="24"/>
        </w:rPr>
        <w:t>krivičnom zakonodavstvu i statusu nosilaca pravosudnih funkcija i adekvatnost državne reakcije na kriminalitet (međunarodni pravni standardi i stanje u Srbiji) (pp. 271-284). Zlatibor: Intermex, Srpsko udruženje za krivičnopravnu teoriju i praksu.</w:t>
      </w:r>
      <w:bookmarkStart w:id="1" w:name="_GoBack"/>
      <w:bookmarkEnd w:id="1"/>
    </w:p>
    <w:p w14:paraId="0F2B4E18" w14:textId="77777777" w:rsidR="00175894" w:rsidRPr="00977212"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 xml:space="preserve">Coulter, D. J., &amp; Lloyd, C. D. </w:t>
      </w:r>
      <w:r>
        <w:rPr>
          <w:rFonts w:ascii="Times New Roman" w:eastAsia="Times New Roman" w:hAnsi="Times New Roman" w:cs="Times New Roman"/>
          <w:sz w:val="24"/>
          <w:szCs w:val="24"/>
          <w:lang w:val="sr-Latn-CS" w:eastAsia="sr-Latn-CS"/>
        </w:rPr>
        <w:t xml:space="preserve">(2023). </w:t>
      </w:r>
      <w:r w:rsidRPr="00012625">
        <w:rPr>
          <w:rFonts w:ascii="Times New Roman" w:eastAsia="Times New Roman" w:hAnsi="Times New Roman" w:cs="Times New Roman"/>
          <w:sz w:val="24"/>
          <w:szCs w:val="24"/>
          <w:lang w:val="sr-Latn-CS" w:eastAsia="sr-Latn-CS"/>
        </w:rPr>
        <w:t>Using a reassessment framework to determine critical case management needs: DRAOR improves on LS/RNR’s predictive discrimin</w:t>
      </w:r>
      <w:r>
        <w:rPr>
          <w:rFonts w:ascii="Times New Roman" w:eastAsia="Times New Roman" w:hAnsi="Times New Roman" w:cs="Times New Roman"/>
          <w:sz w:val="24"/>
          <w:szCs w:val="24"/>
          <w:lang w:val="sr-Latn-CS" w:eastAsia="sr-Latn-CS"/>
        </w:rPr>
        <w:t>ation of short-term recidivism.</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Psychology, Crime &amp; Law, </w:t>
      </w:r>
      <w:r w:rsidRPr="00977212">
        <w:rPr>
          <w:rFonts w:ascii="Times New Roman" w:eastAsia="Times New Roman" w:hAnsi="Times New Roman" w:cs="Times New Roman"/>
          <w:iCs/>
          <w:sz w:val="24"/>
          <w:szCs w:val="24"/>
          <w:lang w:val="sr-Latn-CS" w:eastAsia="sr-Latn-CS"/>
        </w:rPr>
        <w:t>30</w:t>
      </w:r>
      <w:r w:rsidRPr="00012625">
        <w:rPr>
          <w:rFonts w:ascii="Times New Roman" w:eastAsia="Times New Roman" w:hAnsi="Times New Roman" w:cs="Times New Roman"/>
          <w:sz w:val="24"/>
          <w:szCs w:val="24"/>
          <w:lang w:val="sr-Latn-CS" w:eastAsia="sr-Latn-CS"/>
        </w:rPr>
        <w:t xml:space="preserve">(9), 1180–1200. </w:t>
      </w:r>
      <w:hyperlink r:id="rId10" w:tgtFrame="_new" w:history="1">
        <w:r w:rsidRPr="00977212">
          <w:rPr>
            <w:rStyle w:val="Hyperlink"/>
            <w:rFonts w:ascii="Times New Roman" w:eastAsia="Times New Roman" w:hAnsi="Times New Roman" w:cs="Times New Roman"/>
            <w:color w:val="auto"/>
            <w:sz w:val="24"/>
            <w:szCs w:val="24"/>
            <w:u w:val="none"/>
            <w:lang w:val="sr-Latn-CS" w:eastAsia="sr-Latn-CS"/>
          </w:rPr>
          <w:t>doi.org/10.1080/1068316X.2023.2166506</w:t>
        </w:r>
      </w:hyperlink>
    </w:p>
    <w:p w14:paraId="0B5F9CF4"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 xml:space="preserve">Craig, L. A., Browne, K. D., &amp; Beech, A. (2008). </w:t>
      </w:r>
      <w:r w:rsidRPr="00012625">
        <w:rPr>
          <w:rFonts w:ascii="Times New Roman" w:eastAsia="Times New Roman" w:hAnsi="Times New Roman" w:cs="Times New Roman"/>
          <w:i/>
          <w:iCs/>
          <w:sz w:val="24"/>
          <w:szCs w:val="24"/>
          <w:lang w:val="sr-Latn-CS" w:eastAsia="sr-Latn-CS"/>
        </w:rPr>
        <w:t>Assessing risk in sex offenders: A practitioner’s guide.</w:t>
      </w:r>
      <w:r w:rsidRPr="00012625">
        <w:rPr>
          <w:rFonts w:ascii="Times New Roman" w:eastAsia="Times New Roman" w:hAnsi="Times New Roman" w:cs="Times New Roman"/>
          <w:sz w:val="24"/>
          <w:szCs w:val="24"/>
          <w:lang w:val="sr-Latn-CS" w:eastAsia="sr-Latn-CS"/>
        </w:rPr>
        <w:t xml:space="preserve"> Wiley-Blackwell.</w:t>
      </w:r>
    </w:p>
    <w:p w14:paraId="6E14F2E3"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Criminal Code of the Republic of Serbia (Official Gazette of RS, Nos. 85/2005, 88/2005 - corr., 107/2005 - corr., 72/2009, 111/2009, 121/2012, 104/2013, 108/2014, 94/2016, 35/2019, 37/2019 - corr.) (Belgrade: Official Gazette of the Republic of Serbia).</w:t>
      </w:r>
    </w:p>
    <w:p w14:paraId="661A8875" w14:textId="77777777" w:rsidR="00175894" w:rsidRPr="0071273B" w:rsidRDefault="00175894" w:rsidP="00175894">
      <w:pPr>
        <w:spacing w:after="0" w:line="360" w:lineRule="auto"/>
        <w:ind w:left="567" w:hanging="567"/>
        <w:jc w:val="both"/>
        <w:rPr>
          <w:rFonts w:ascii="Times New Roman" w:eastAsia="Calibri" w:hAnsi="Times New Roman" w:cs="Times New Roman"/>
          <w:sz w:val="24"/>
          <w:szCs w:val="24"/>
        </w:rPr>
      </w:pPr>
      <w:r w:rsidRPr="0071273B">
        <w:rPr>
          <w:rFonts w:ascii="Times New Roman" w:eastAsia="Times New Roman" w:hAnsi="Times New Roman" w:cs="Times New Roman"/>
          <w:sz w:val="24"/>
          <w:szCs w:val="24"/>
          <w:lang w:val="sr-Latn-CS" w:eastAsia="sr-Latn-CS"/>
        </w:rPr>
        <w:t>Đorđević, Đ., Bodrožić, I. (2020)</w:t>
      </w:r>
      <w:r>
        <w:rPr>
          <w:rFonts w:ascii="Times New Roman" w:eastAsia="Times New Roman" w:hAnsi="Times New Roman" w:cs="Times New Roman"/>
          <w:sz w:val="24"/>
          <w:szCs w:val="24"/>
          <w:lang w:val="sr-Latn-CS" w:eastAsia="sr-Latn-CS"/>
        </w:rPr>
        <w:t xml:space="preserve">. </w:t>
      </w:r>
      <w:r w:rsidRPr="0071273B">
        <w:rPr>
          <w:rFonts w:ascii="Times New Roman" w:eastAsia="Calibri" w:hAnsi="Times New Roman" w:cs="Times New Roman"/>
          <w:sz w:val="24"/>
          <w:szCs w:val="24"/>
        </w:rPr>
        <w:t>A New legal solution on recidivism i</w:t>
      </w:r>
      <w:r>
        <w:rPr>
          <w:rFonts w:ascii="Times New Roman" w:eastAsia="Calibri" w:hAnsi="Times New Roman" w:cs="Times New Roman"/>
          <w:sz w:val="24"/>
          <w:szCs w:val="24"/>
        </w:rPr>
        <w:t>n serbian criminal legislationa</w:t>
      </w:r>
      <w:r w:rsidRPr="0071273B">
        <w:rPr>
          <w:rFonts w:ascii="Times New Roman" w:eastAsia="Calibri" w:hAnsi="Times New Roman" w:cs="Times New Roman"/>
          <w:sz w:val="24"/>
          <w:szCs w:val="24"/>
        </w:rPr>
        <w:t xml:space="preserve">. </w:t>
      </w:r>
      <w:r w:rsidRPr="0071273B">
        <w:rPr>
          <w:rFonts w:ascii="Times New Roman" w:eastAsia="Calibri" w:hAnsi="Times New Roman" w:cs="Times New Roman"/>
          <w:i/>
          <w:sz w:val="24"/>
          <w:szCs w:val="24"/>
        </w:rPr>
        <w:t>NBP</w:t>
      </w:r>
      <w:r w:rsidRPr="0071273B">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71273B">
        <w:rPr>
          <w:rFonts w:ascii="Times New Roman" w:eastAsia="Calibri" w:hAnsi="Times New Roman" w:cs="Times New Roman"/>
          <w:sz w:val="24"/>
          <w:szCs w:val="24"/>
        </w:rPr>
        <w:t xml:space="preserve"> Journal of Criminalistics an Law,</w:t>
      </w:r>
      <w:r>
        <w:rPr>
          <w:rFonts w:ascii="Times New Roman" w:eastAsia="Calibri" w:hAnsi="Times New Roman" w:cs="Times New Roman"/>
          <w:sz w:val="24"/>
          <w:szCs w:val="24"/>
        </w:rPr>
        <w:t xml:space="preserve"> 25(3), </w:t>
      </w:r>
      <w:r w:rsidRPr="0071273B">
        <w:rPr>
          <w:rFonts w:ascii="Times New Roman" w:eastAsia="Calibri" w:hAnsi="Times New Roman" w:cs="Times New Roman"/>
          <w:sz w:val="24"/>
          <w:szCs w:val="24"/>
        </w:rPr>
        <w:t>71-85</w:t>
      </w:r>
      <w:r w:rsidRPr="0071273B">
        <w:rPr>
          <w:sz w:val="27"/>
          <w:szCs w:val="27"/>
          <w:shd w:val="clear" w:color="auto" w:fill="FFFFFF"/>
        </w:rPr>
        <w:t xml:space="preserve"> </w:t>
      </w:r>
      <w:r w:rsidRPr="0071273B">
        <w:rPr>
          <w:rFonts w:ascii="Times New Roman" w:eastAsia="Calibri" w:hAnsi="Times New Roman" w:cs="Times New Roman"/>
          <w:sz w:val="24"/>
          <w:szCs w:val="24"/>
        </w:rPr>
        <w:t>doi:10.5937/nabepo25-30459</w:t>
      </w:r>
    </w:p>
    <w:p w14:paraId="22F1D390" w14:textId="77777777" w:rsidR="00175894" w:rsidRPr="0071273B"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1273B">
        <w:rPr>
          <w:rFonts w:ascii="Times New Roman" w:eastAsia="Times New Roman" w:hAnsi="Times New Roman" w:cs="Times New Roman"/>
          <w:sz w:val="24"/>
          <w:szCs w:val="24"/>
          <w:lang w:val="sr-Latn-CS" w:eastAsia="sr-Latn-CS"/>
        </w:rPr>
        <w:t xml:space="preserve">Đorđević, Đ., </w:t>
      </w:r>
      <w:r>
        <w:rPr>
          <w:rFonts w:ascii="Times New Roman" w:eastAsia="Times New Roman" w:hAnsi="Times New Roman" w:cs="Times New Roman"/>
          <w:sz w:val="24"/>
          <w:szCs w:val="24"/>
          <w:lang w:val="sr-Latn-CS" w:eastAsia="sr-Latn-CS"/>
        </w:rPr>
        <w:t xml:space="preserve">&amp; </w:t>
      </w:r>
      <w:r w:rsidRPr="0071273B">
        <w:rPr>
          <w:rFonts w:ascii="Times New Roman" w:eastAsia="Times New Roman" w:hAnsi="Times New Roman" w:cs="Times New Roman"/>
          <w:sz w:val="24"/>
          <w:szCs w:val="24"/>
          <w:lang w:val="sr-Latn-CS" w:eastAsia="sr-Latn-CS"/>
        </w:rPr>
        <w:t>Bodrožić, I. (2024)</w:t>
      </w:r>
      <w:r>
        <w:rPr>
          <w:rFonts w:ascii="Times New Roman" w:eastAsia="Times New Roman" w:hAnsi="Times New Roman" w:cs="Times New Roman"/>
          <w:sz w:val="24"/>
          <w:szCs w:val="24"/>
          <w:lang w:val="sr-Latn-CS" w:eastAsia="sr-Latn-CS"/>
        </w:rPr>
        <w:t>.</w:t>
      </w:r>
      <w:r w:rsidRPr="0071273B">
        <w:rPr>
          <w:rFonts w:ascii="Times New Roman" w:eastAsia="Times New Roman" w:hAnsi="Times New Roman" w:cs="Times New Roman"/>
          <w:sz w:val="24"/>
          <w:szCs w:val="24"/>
          <w:lang w:val="sr-Latn-CS" w:eastAsia="sr-Latn-CS"/>
        </w:rPr>
        <w:t xml:space="preserve"> </w:t>
      </w:r>
      <w:r>
        <w:rPr>
          <w:rFonts w:ascii="Times New Roman" w:eastAsia="Times New Roman" w:hAnsi="Times New Roman" w:cs="Times New Roman"/>
          <w:i/>
          <w:sz w:val="24"/>
          <w:szCs w:val="24"/>
          <w:lang w:val="sr-Latn-CS" w:eastAsia="sr-Latn-CS"/>
        </w:rPr>
        <w:t>Krivično pravo-posebni deo.</w:t>
      </w:r>
      <w:r w:rsidRPr="0071273B">
        <w:rPr>
          <w:rFonts w:ascii="Times New Roman" w:eastAsia="Times New Roman" w:hAnsi="Times New Roman" w:cs="Times New Roman"/>
          <w:sz w:val="24"/>
          <w:szCs w:val="24"/>
          <w:lang w:val="sr-Latn-CS" w:eastAsia="sr-Latn-CS"/>
        </w:rPr>
        <w:t xml:space="preserve"> </w:t>
      </w:r>
      <w:r>
        <w:rPr>
          <w:rFonts w:ascii="Times New Roman" w:eastAsia="Times New Roman" w:hAnsi="Times New Roman" w:cs="Times New Roman"/>
          <w:sz w:val="24"/>
          <w:szCs w:val="24"/>
          <w:lang w:val="sr-Latn-CS" w:eastAsia="sr-Latn-CS"/>
        </w:rPr>
        <w:t xml:space="preserve">Beograd: </w:t>
      </w:r>
      <w:r w:rsidRPr="0071273B">
        <w:rPr>
          <w:rFonts w:ascii="Times New Roman" w:eastAsia="Times New Roman" w:hAnsi="Times New Roman" w:cs="Times New Roman"/>
          <w:sz w:val="24"/>
          <w:szCs w:val="24"/>
          <w:lang w:val="sr-Latn-CS" w:eastAsia="sr-Latn-CS"/>
        </w:rPr>
        <w:t>Kriminal</w:t>
      </w:r>
      <w:r>
        <w:rPr>
          <w:rFonts w:ascii="Times New Roman" w:eastAsia="Times New Roman" w:hAnsi="Times New Roman" w:cs="Times New Roman"/>
          <w:sz w:val="24"/>
          <w:szCs w:val="24"/>
          <w:lang w:val="sr-Latn-CS" w:eastAsia="sr-Latn-CS"/>
        </w:rPr>
        <w:t>ističko-policijski univerzitet</w:t>
      </w:r>
      <w:r w:rsidRPr="0071273B">
        <w:rPr>
          <w:rFonts w:ascii="Times New Roman" w:eastAsia="Times New Roman" w:hAnsi="Times New Roman" w:cs="Times New Roman"/>
          <w:sz w:val="24"/>
          <w:szCs w:val="24"/>
          <w:lang w:val="sr-Latn-CS" w:eastAsia="sr-Latn-CS"/>
        </w:rPr>
        <w:t>.</w:t>
      </w:r>
    </w:p>
    <w:p w14:paraId="738C4484"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Farrington, D. P. (2003)</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Developmental and life-course criminology: Key t</w:t>
      </w:r>
      <w:r>
        <w:rPr>
          <w:rFonts w:ascii="Times New Roman" w:eastAsia="Times New Roman" w:hAnsi="Times New Roman" w:cs="Times New Roman"/>
          <w:sz w:val="24"/>
          <w:szCs w:val="24"/>
          <w:lang w:val="sr-Latn-CS" w:eastAsia="sr-Latn-CS"/>
        </w:rPr>
        <w:t xml:space="preserve">heoretical and empirical issues </w:t>
      </w:r>
      <w:r w:rsidRPr="00775D47">
        <w:rPr>
          <w:rFonts w:ascii="Times New Roman" w:eastAsia="Times New Roman" w:hAnsi="Times New Roman" w:cs="Times New Roman"/>
          <w:sz w:val="24"/>
          <w:szCs w:val="24"/>
          <w:lang w:val="sr-Latn-CS" w:eastAsia="sr-Latn-CS"/>
        </w:rPr>
        <w:t>th</w:t>
      </w:r>
      <w:r>
        <w:rPr>
          <w:rFonts w:ascii="Times New Roman" w:eastAsia="Times New Roman" w:hAnsi="Times New Roman" w:cs="Times New Roman"/>
          <w:sz w:val="24"/>
          <w:szCs w:val="24"/>
          <w:lang w:val="sr-Latn-CS" w:eastAsia="sr-Latn-CS"/>
        </w:rPr>
        <w:t>e 2002 Sutherland Award Address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Criminology</w:t>
      </w:r>
      <w:r w:rsidRPr="00775D47">
        <w:rPr>
          <w:rFonts w:ascii="Times New Roman" w:eastAsia="Times New Roman" w:hAnsi="Times New Roman" w:cs="Times New Roman"/>
          <w:sz w:val="24"/>
          <w:szCs w:val="24"/>
          <w:lang w:val="sr-Latn-CS" w:eastAsia="sr-Latn-CS"/>
        </w:rPr>
        <w:t>, 41(2), 221–255.</w:t>
      </w:r>
    </w:p>
    <w:p w14:paraId="70C1EDD5"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Hanson, R. K., Bourgon, G., Helmus, L., &amp; Hodgson, S. (2009)</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The principles of effective correctional treatment also apply to sexual offenders: A meta-ana</w:t>
      </w:r>
      <w:r>
        <w:rPr>
          <w:rFonts w:ascii="Times New Roman" w:eastAsia="Times New Roman" w:hAnsi="Times New Roman" w:cs="Times New Roman"/>
          <w:sz w:val="24"/>
          <w:szCs w:val="24"/>
          <w:lang w:val="sr-Latn-CS" w:eastAsia="sr-Latn-CS"/>
        </w:rPr>
        <w:t>lysis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Criminal Justice and Behavior</w:t>
      </w:r>
      <w:r w:rsidRPr="00775D47">
        <w:rPr>
          <w:rFonts w:ascii="Times New Roman" w:eastAsia="Times New Roman" w:hAnsi="Times New Roman" w:cs="Times New Roman"/>
          <w:sz w:val="24"/>
          <w:szCs w:val="24"/>
          <w:lang w:val="sr-Latn-CS" w:eastAsia="sr-Latn-CS"/>
        </w:rPr>
        <w:t>, 36(9), 865–891.</w:t>
      </w:r>
      <w:r w:rsidRPr="00EB143C">
        <w:t xml:space="preserve"> </w:t>
      </w:r>
      <w:r w:rsidRPr="00EB143C">
        <w:rPr>
          <w:rFonts w:ascii="Times New Roman" w:hAnsi="Times New Roman" w:cs="Times New Roman"/>
          <w:sz w:val="24"/>
          <w:szCs w:val="24"/>
        </w:rPr>
        <w:t>doi.org/10.1177/0093854809338545</w:t>
      </w:r>
    </w:p>
    <w:p w14:paraId="5ACE07BA"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Hanson, R. K., &amp; Morton-Bourgon,</w:t>
      </w:r>
      <w:r>
        <w:rPr>
          <w:rFonts w:ascii="Times New Roman" w:eastAsia="Times New Roman" w:hAnsi="Times New Roman" w:cs="Times New Roman"/>
          <w:sz w:val="24"/>
          <w:szCs w:val="24"/>
          <w:lang w:val="sr-Latn-CS" w:eastAsia="sr-Latn-CS"/>
        </w:rPr>
        <w:t xml:space="preserve"> K. E. (2005</w:t>
      </w:r>
      <w:r w:rsidRPr="00775D47">
        <w:rPr>
          <w:rFonts w:ascii="Times New Roman" w:eastAsia="Times New Roman" w:hAnsi="Times New Roman" w:cs="Times New Roman"/>
          <w:sz w:val="24"/>
          <w:szCs w:val="24"/>
          <w:lang w:val="sr-Latn-CS" w:eastAsia="sr-Latn-CS"/>
        </w:rPr>
        <w:t>)</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The characteristics of persistent sexual offenders: A meta</w:t>
      </w:r>
      <w:r>
        <w:rPr>
          <w:rFonts w:ascii="Times New Roman" w:eastAsia="Times New Roman" w:hAnsi="Times New Roman" w:cs="Times New Roman"/>
          <w:sz w:val="24"/>
          <w:szCs w:val="24"/>
          <w:lang w:val="sr-Latn-CS" w:eastAsia="sr-Latn-CS"/>
        </w:rPr>
        <w:t>-analysis of recidivism studies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Consulting and Clinical Psychology</w:t>
      </w:r>
      <w:r w:rsidRPr="00775D47">
        <w:rPr>
          <w:rFonts w:ascii="Times New Roman" w:eastAsia="Times New Roman" w:hAnsi="Times New Roman" w:cs="Times New Roman"/>
          <w:sz w:val="24"/>
          <w:szCs w:val="24"/>
          <w:lang w:val="sr-Latn-CS" w:eastAsia="sr-Latn-CS"/>
        </w:rPr>
        <w:t xml:space="preserve">, 73(6), 1154–1163. </w:t>
      </w:r>
      <w:hyperlink r:id="rId11" w:tgtFrame="_new" w:history="1">
        <w:r w:rsidRPr="00EB143C">
          <w:rPr>
            <w:rFonts w:ascii="Times New Roman" w:eastAsia="Times New Roman" w:hAnsi="Times New Roman" w:cs="Times New Roman"/>
            <w:sz w:val="24"/>
            <w:szCs w:val="24"/>
            <w:lang w:val="sr-Latn-CS" w:eastAsia="sr-Latn-CS"/>
          </w:rPr>
          <w:t>doi.org/10.1037/0022-006X.73.6.1154</w:t>
        </w:r>
      </w:hyperlink>
    </w:p>
    <w:p w14:paraId="2D0B5472"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Harris, A. J. R., &amp; Hanson, R. K. (2004)</w:t>
      </w:r>
      <w:r>
        <w:rPr>
          <w:rFonts w:ascii="Times New Roman" w:eastAsia="Times New Roman" w:hAnsi="Times New Roman" w:cs="Times New Roman"/>
          <w:sz w:val="24"/>
          <w:szCs w:val="24"/>
          <w:lang w:val="sr-Latn-CS" w:eastAsia="sr-Latn-CS"/>
        </w:rPr>
        <w:t>.</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Sex offender recidivism: A simple question</w:t>
      </w:r>
      <w:r w:rsidRPr="00012625">
        <w:rPr>
          <w:rFonts w:ascii="Times New Roman" w:eastAsia="Times New Roman" w:hAnsi="Times New Roman" w:cs="Times New Roman"/>
          <w:sz w:val="24"/>
          <w:szCs w:val="24"/>
          <w:lang w:val="sr-Latn-CS" w:eastAsia="sr-Latn-CS"/>
        </w:rPr>
        <w:t>. Ottawa, Ontario, Canada: Public Safety and Emergency Preparedness Canada.</w:t>
      </w:r>
    </w:p>
    <w:p w14:paraId="4B624CEB" w14:textId="77777777" w:rsidR="00175894"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IBM Corp. (2015)</w:t>
      </w:r>
      <w:r>
        <w:rPr>
          <w:rFonts w:ascii="Times New Roman" w:eastAsia="Times New Roman" w:hAnsi="Times New Roman" w:cs="Times New Roman"/>
          <w:sz w:val="24"/>
          <w:szCs w:val="24"/>
          <w:lang w:val="sr-Latn-CS" w:eastAsia="sr-Latn-CS"/>
        </w:rPr>
        <w:t>.</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IBM SPSS Statistics for Windows, Version 23.0</w:t>
      </w:r>
      <w:r w:rsidRPr="00775D47">
        <w:rPr>
          <w:rFonts w:ascii="Times New Roman" w:eastAsia="Times New Roman" w:hAnsi="Times New Roman" w:cs="Times New Roman"/>
          <w:sz w:val="24"/>
          <w:szCs w:val="24"/>
          <w:lang w:val="sr-Latn-CS" w:eastAsia="sr-Latn-CS"/>
        </w:rPr>
        <w:t>. IBM Corp.</w:t>
      </w:r>
    </w:p>
    <w:p w14:paraId="152DA50C" w14:textId="77777777" w:rsidR="00175894"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 xml:space="preserve">Juszczak, </w:t>
      </w:r>
      <w:r>
        <w:rPr>
          <w:rFonts w:ascii="Times New Roman" w:eastAsia="Times New Roman" w:hAnsi="Times New Roman" w:cs="Times New Roman"/>
          <w:sz w:val="24"/>
          <w:szCs w:val="24"/>
          <w:lang w:val="sr-Latn-CS" w:eastAsia="sr-Latn-CS"/>
        </w:rPr>
        <w:t xml:space="preserve">D., &amp; Korzeniewski, K. (2016). </w:t>
      </w:r>
      <w:r w:rsidRPr="00012625">
        <w:rPr>
          <w:rFonts w:ascii="Times New Roman" w:eastAsia="Times New Roman" w:hAnsi="Times New Roman" w:cs="Times New Roman"/>
          <w:sz w:val="24"/>
          <w:szCs w:val="24"/>
          <w:lang w:val="sr-Latn-CS" w:eastAsia="sr-Latn-CS"/>
        </w:rPr>
        <w:t xml:space="preserve">Analiza wybranych czynników psychospołecznych i psychopatologicznych u sprawców przestępstw seksualnych z </w:t>
      </w:r>
      <w:r>
        <w:rPr>
          <w:rFonts w:ascii="Times New Roman" w:eastAsia="Times New Roman" w:hAnsi="Times New Roman" w:cs="Times New Roman"/>
          <w:sz w:val="24"/>
          <w:szCs w:val="24"/>
          <w:lang w:val="sr-Latn-CS" w:eastAsia="sr-Latn-CS"/>
        </w:rPr>
        <w:t>trwałymi anomaliami osobowości.</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Seksuologia Polska, </w:t>
      </w:r>
      <w:r w:rsidRPr="00F5017F">
        <w:rPr>
          <w:rFonts w:ascii="Times New Roman" w:eastAsia="Times New Roman" w:hAnsi="Times New Roman" w:cs="Times New Roman"/>
          <w:iCs/>
          <w:sz w:val="24"/>
          <w:szCs w:val="24"/>
          <w:lang w:val="sr-Latn-CS" w:eastAsia="sr-Latn-CS"/>
        </w:rPr>
        <w:t>14</w:t>
      </w:r>
      <w:r w:rsidRPr="00012625">
        <w:rPr>
          <w:rFonts w:ascii="Times New Roman" w:eastAsia="Times New Roman" w:hAnsi="Times New Roman" w:cs="Times New Roman"/>
          <w:sz w:val="24"/>
          <w:szCs w:val="24"/>
          <w:lang w:val="sr-Latn-CS" w:eastAsia="sr-Latn-CS"/>
        </w:rPr>
        <w:t xml:space="preserve">(1), 13–18. </w:t>
      </w:r>
      <w:hyperlink r:id="rId12" w:tgtFrame="_new" w:history="1">
        <w:r w:rsidRPr="00EB143C">
          <w:rPr>
            <w:rStyle w:val="Hyperlink"/>
            <w:rFonts w:ascii="Times New Roman" w:eastAsia="Times New Roman" w:hAnsi="Times New Roman" w:cs="Times New Roman"/>
            <w:color w:val="auto"/>
            <w:sz w:val="24"/>
            <w:szCs w:val="24"/>
            <w:u w:val="none"/>
            <w:lang w:val="sr-Latn-CS" w:eastAsia="sr-Latn-CS"/>
          </w:rPr>
          <w:t>doi.org/10.5603/SP.2016.0002</w:t>
        </w:r>
      </w:hyperlink>
    </w:p>
    <w:p w14:paraId="13217063"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Kalaivanan, S., Kamaluddin, M. R., Abdullah,</w:t>
      </w:r>
      <w:r>
        <w:rPr>
          <w:rFonts w:ascii="Times New Roman" w:eastAsia="Times New Roman" w:hAnsi="Times New Roman" w:cs="Times New Roman"/>
          <w:sz w:val="24"/>
          <w:szCs w:val="24"/>
          <w:lang w:val="sr-Latn-CS" w:eastAsia="sr-Latn-CS"/>
        </w:rPr>
        <w:t xml:space="preserve"> H., &amp; Singh, P. S. J. (2025). </w:t>
      </w:r>
      <w:r w:rsidRPr="00012625">
        <w:rPr>
          <w:rFonts w:ascii="Times New Roman" w:eastAsia="Times New Roman" w:hAnsi="Times New Roman" w:cs="Times New Roman"/>
          <w:sz w:val="24"/>
          <w:szCs w:val="24"/>
          <w:lang w:val="sr-Latn-CS" w:eastAsia="sr-Latn-CS"/>
        </w:rPr>
        <w:t>Psychosocial determinants of recidivism risk among incarcerated individuals with a history of substance use: A systematic revie</w:t>
      </w:r>
      <w:r>
        <w:rPr>
          <w:rFonts w:ascii="Times New Roman" w:eastAsia="Times New Roman" w:hAnsi="Times New Roman" w:cs="Times New Roman"/>
          <w:sz w:val="24"/>
          <w:szCs w:val="24"/>
          <w:lang w:val="sr-Latn-CS" w:eastAsia="sr-Latn-CS"/>
        </w:rPr>
        <w:t>w.</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PLOS ONE, </w:t>
      </w:r>
      <w:r w:rsidRPr="00F5017F">
        <w:rPr>
          <w:rFonts w:ascii="Times New Roman" w:eastAsia="Times New Roman" w:hAnsi="Times New Roman" w:cs="Times New Roman"/>
          <w:iCs/>
          <w:sz w:val="24"/>
          <w:szCs w:val="24"/>
          <w:lang w:val="sr-Latn-CS" w:eastAsia="sr-Latn-CS"/>
        </w:rPr>
        <w:t>20</w:t>
      </w:r>
      <w:r w:rsidRPr="00012625">
        <w:rPr>
          <w:rFonts w:ascii="Times New Roman" w:eastAsia="Times New Roman" w:hAnsi="Times New Roman" w:cs="Times New Roman"/>
          <w:sz w:val="24"/>
          <w:szCs w:val="24"/>
          <w:lang w:val="sr-Latn-CS" w:eastAsia="sr-Latn-CS"/>
        </w:rPr>
        <w:t xml:space="preserve">(7), e0327810. </w:t>
      </w:r>
      <w:hyperlink r:id="rId13" w:tgtFrame="_new" w:history="1">
        <w:r w:rsidRPr="00EB143C">
          <w:rPr>
            <w:rStyle w:val="Hyperlink"/>
            <w:rFonts w:ascii="Times New Roman" w:eastAsia="Times New Roman" w:hAnsi="Times New Roman" w:cs="Times New Roman"/>
            <w:color w:val="auto"/>
            <w:sz w:val="24"/>
            <w:szCs w:val="24"/>
            <w:u w:val="none"/>
            <w:lang w:val="sr-Latn-CS" w:eastAsia="sr-Latn-CS"/>
          </w:rPr>
          <w:t>doi.org/10.1371/journal.pone.0327810</w:t>
        </w:r>
      </w:hyperlink>
    </w:p>
    <w:p w14:paraId="04E15432"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Lajić, O., Baić, V., &amp; Tomić, M. (2022)</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Real rape stereotype</w:t>
      </w:r>
      <w:r>
        <w:rPr>
          <w:rFonts w:ascii="Times New Roman" w:eastAsia="Times New Roman" w:hAnsi="Times New Roman" w:cs="Times New Roman"/>
          <w:sz w:val="24"/>
          <w:szCs w:val="24"/>
          <w:lang w:val="sr-Latn-CS" w:eastAsia="sr-Latn-CS"/>
        </w:rPr>
        <w:t>: Between knowledge and beliefs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Criminalistics and Law</w:t>
      </w:r>
      <w:r w:rsidRPr="00775D47">
        <w:rPr>
          <w:rFonts w:ascii="Times New Roman" w:eastAsia="Times New Roman" w:hAnsi="Times New Roman" w:cs="Times New Roman"/>
          <w:sz w:val="24"/>
          <w:szCs w:val="24"/>
          <w:lang w:val="sr-Latn-CS" w:eastAsia="sr-Latn-CS"/>
        </w:rPr>
        <w:t xml:space="preserve">, 27(3), 46–57. </w:t>
      </w:r>
      <w:hyperlink r:id="rId14" w:tgtFrame="_new" w:history="1">
        <w:r w:rsidRPr="00EB143C">
          <w:rPr>
            <w:rFonts w:ascii="Times New Roman" w:eastAsia="Times New Roman" w:hAnsi="Times New Roman" w:cs="Times New Roman"/>
            <w:sz w:val="24"/>
            <w:szCs w:val="24"/>
            <w:lang w:val="sr-Latn-CS" w:eastAsia="sr-Latn-CS"/>
          </w:rPr>
          <w:t>doi.org/10.5937/nabepo27-37491</w:t>
        </w:r>
      </w:hyperlink>
    </w:p>
    <w:p w14:paraId="5367A78D"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Langan, P., Schmitt, E., &amp; Durose, M. (2003)</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Recidivism of sex offende</w:t>
      </w:r>
      <w:r>
        <w:rPr>
          <w:rFonts w:ascii="Times New Roman" w:eastAsia="Times New Roman" w:hAnsi="Times New Roman" w:cs="Times New Roman"/>
          <w:sz w:val="24"/>
          <w:szCs w:val="24"/>
          <w:lang w:val="sr-Latn-CS" w:eastAsia="sr-Latn-CS"/>
        </w:rPr>
        <w:t>rs released from prison in 1994</w:t>
      </w:r>
      <w:r w:rsidRPr="00775D47">
        <w:rPr>
          <w:rFonts w:ascii="Times New Roman" w:eastAsia="Times New Roman" w:hAnsi="Times New Roman" w:cs="Times New Roman"/>
          <w:sz w:val="24"/>
          <w:szCs w:val="24"/>
          <w:lang w:val="sr-Latn-CS" w:eastAsia="sr-Latn-CS"/>
        </w:rPr>
        <w:t xml:space="preserve">. Washington, DC: U.S. Department of Justice, Office of Justice Programs, Bureau of Justice Statistics. </w:t>
      </w:r>
    </w:p>
    <w:p w14:paraId="21027B32"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Lussier, P.</w:t>
      </w:r>
      <w:r>
        <w:rPr>
          <w:rFonts w:ascii="Times New Roman" w:eastAsia="Times New Roman" w:hAnsi="Times New Roman" w:cs="Times New Roman"/>
          <w:sz w:val="24"/>
          <w:szCs w:val="24"/>
          <w:lang w:val="sr-Latn-CS" w:eastAsia="sr-Latn-CS"/>
        </w:rPr>
        <w:t xml:space="preserve">, &amp; Blokland, A. A. J. (2017). </w:t>
      </w:r>
      <w:r w:rsidRPr="00012625">
        <w:rPr>
          <w:rFonts w:ascii="Times New Roman" w:eastAsia="Times New Roman" w:hAnsi="Times New Roman" w:cs="Times New Roman"/>
          <w:sz w:val="24"/>
          <w:szCs w:val="24"/>
          <w:lang w:val="sr-Latn-CS" w:eastAsia="sr-Latn-CS"/>
        </w:rPr>
        <w:t>A developmental life-course perspective of juvenile and adult sexual offendin</w:t>
      </w:r>
      <w:r>
        <w:rPr>
          <w:rFonts w:ascii="Times New Roman" w:eastAsia="Times New Roman" w:hAnsi="Times New Roman" w:cs="Times New Roman"/>
          <w:sz w:val="24"/>
          <w:szCs w:val="24"/>
          <w:lang w:val="sr-Latn-CS" w:eastAsia="sr-Latn-CS"/>
        </w:rPr>
        <w:t>g.</w:t>
      </w:r>
      <w:r w:rsidRPr="00012625">
        <w:rPr>
          <w:rFonts w:ascii="Times New Roman" w:eastAsia="Times New Roman" w:hAnsi="Times New Roman" w:cs="Times New Roman"/>
          <w:sz w:val="24"/>
          <w:szCs w:val="24"/>
          <w:lang w:val="sr-Latn-CS" w:eastAsia="sr-Latn-CS"/>
        </w:rPr>
        <w:t xml:space="preserve"> In T. Sanders (Ed.), </w:t>
      </w:r>
      <w:r w:rsidRPr="00012625">
        <w:rPr>
          <w:rFonts w:ascii="Times New Roman" w:eastAsia="Times New Roman" w:hAnsi="Times New Roman" w:cs="Times New Roman"/>
          <w:i/>
          <w:iCs/>
          <w:sz w:val="24"/>
          <w:szCs w:val="24"/>
          <w:lang w:val="sr-Latn-CS" w:eastAsia="sr-Latn-CS"/>
        </w:rPr>
        <w:t>The Oxford handbook of sex offences and sex offenders</w:t>
      </w:r>
      <w:r w:rsidRPr="00012625">
        <w:rPr>
          <w:rFonts w:ascii="Times New Roman" w:eastAsia="Times New Roman" w:hAnsi="Times New Roman" w:cs="Times New Roman"/>
          <w:sz w:val="24"/>
          <w:szCs w:val="24"/>
          <w:lang w:val="sr-Latn-CS" w:eastAsia="sr-Latn-CS"/>
        </w:rPr>
        <w:t xml:space="preserve"> (pp. 241–269). Oxford University Press.</w:t>
      </w:r>
    </w:p>
    <w:p w14:paraId="773D01AE" w14:textId="77777777" w:rsidR="00175894" w:rsidRDefault="00175894" w:rsidP="00175894">
      <w:pPr>
        <w:spacing w:after="0" w:line="360" w:lineRule="auto"/>
        <w:ind w:left="567" w:hanging="567"/>
        <w:jc w:val="both"/>
        <w:rPr>
          <w:rFonts w:ascii="Times New Roman" w:eastAsia="Times New Roman" w:hAnsi="Times New Roman" w:cs="Times New Roman"/>
          <w:color w:val="0000FF"/>
          <w:sz w:val="24"/>
          <w:szCs w:val="24"/>
          <w:u w:val="single"/>
          <w:lang w:val="sr-Latn-CS" w:eastAsia="sr-Latn-CS"/>
        </w:rPr>
      </w:pPr>
      <w:r w:rsidRPr="00775D47">
        <w:rPr>
          <w:rFonts w:ascii="Times New Roman" w:eastAsia="Times New Roman" w:hAnsi="Times New Roman" w:cs="Times New Roman"/>
          <w:sz w:val="24"/>
          <w:szCs w:val="24"/>
          <w:lang w:val="sr-Latn-CS" w:eastAsia="sr-Latn-CS"/>
        </w:rPr>
        <w:t>Lussier, P., Chouinard Thivierge, S., Fréchette, J., &amp; Proulx, J. (2024)</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Sex offender recidivism: Some lessons learned from over 70 year</w:t>
      </w:r>
      <w:r>
        <w:rPr>
          <w:rFonts w:ascii="Times New Roman" w:eastAsia="Times New Roman" w:hAnsi="Times New Roman" w:cs="Times New Roman"/>
          <w:sz w:val="24"/>
          <w:szCs w:val="24"/>
          <w:lang w:val="sr-Latn-CS" w:eastAsia="sr-Latn-CS"/>
        </w:rPr>
        <w:t>s of research</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Criminal Justice Review</w:t>
      </w:r>
      <w:r w:rsidRPr="00775D47">
        <w:rPr>
          <w:rFonts w:ascii="Times New Roman" w:eastAsia="Times New Roman" w:hAnsi="Times New Roman" w:cs="Times New Roman"/>
          <w:sz w:val="24"/>
          <w:szCs w:val="24"/>
          <w:lang w:val="sr-Latn-CS" w:eastAsia="sr-Latn-CS"/>
        </w:rPr>
        <w:t xml:space="preserve">, 49(4), 413–452. </w:t>
      </w:r>
      <w:hyperlink r:id="rId15" w:tgtFrame="_new" w:history="1">
        <w:r w:rsidRPr="00EB143C">
          <w:rPr>
            <w:rFonts w:ascii="Times New Roman" w:eastAsia="Times New Roman" w:hAnsi="Times New Roman" w:cs="Times New Roman"/>
            <w:sz w:val="24"/>
            <w:szCs w:val="24"/>
            <w:lang w:val="sr-Latn-CS" w:eastAsia="sr-Latn-CS"/>
          </w:rPr>
          <w:t>doi.org/10.1177/07340168231157385</w:t>
        </w:r>
      </w:hyperlink>
    </w:p>
    <w:p w14:paraId="7A766C37"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Lussier, P., McCuish, E., Pr</w:t>
      </w:r>
      <w:r>
        <w:rPr>
          <w:rFonts w:ascii="Times New Roman" w:eastAsia="Times New Roman" w:hAnsi="Times New Roman" w:cs="Times New Roman"/>
          <w:sz w:val="24"/>
          <w:szCs w:val="24"/>
          <w:lang w:val="sr-Latn-CS" w:eastAsia="sr-Latn-CS"/>
        </w:rPr>
        <w:t xml:space="preserve">oulx, J., &amp; Jeglic, E. (2023). </w:t>
      </w:r>
      <w:r w:rsidRPr="00012625">
        <w:rPr>
          <w:rFonts w:ascii="Times New Roman" w:eastAsia="Times New Roman" w:hAnsi="Times New Roman" w:cs="Times New Roman"/>
          <w:sz w:val="24"/>
          <w:szCs w:val="24"/>
          <w:lang w:val="sr-Latn-CS" w:eastAsia="sr-Latn-CS"/>
        </w:rPr>
        <w:t>Against all odds: The sexual recidivism drop i</w:t>
      </w:r>
      <w:r>
        <w:rPr>
          <w:rFonts w:ascii="Times New Roman" w:eastAsia="Times New Roman" w:hAnsi="Times New Roman" w:cs="Times New Roman"/>
          <w:sz w:val="24"/>
          <w:szCs w:val="24"/>
          <w:lang w:val="sr-Latn-CS" w:eastAsia="sr-Latn-CS"/>
        </w:rPr>
        <w:t>n Canada and the United States.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Crime and Justice</w:t>
      </w:r>
      <w:r w:rsidRPr="00F5017F">
        <w:rPr>
          <w:rFonts w:ascii="Times New Roman" w:eastAsia="Times New Roman" w:hAnsi="Times New Roman" w:cs="Times New Roman"/>
          <w:iCs/>
          <w:sz w:val="24"/>
          <w:szCs w:val="24"/>
          <w:lang w:val="sr-Latn-CS" w:eastAsia="sr-Latn-CS"/>
        </w:rPr>
        <w:t>, 52</w:t>
      </w:r>
      <w:r w:rsidRPr="00F5017F">
        <w:rPr>
          <w:rFonts w:ascii="Times New Roman" w:eastAsia="Times New Roman" w:hAnsi="Times New Roman" w:cs="Times New Roman"/>
          <w:sz w:val="24"/>
          <w:szCs w:val="24"/>
          <w:lang w:val="sr-Latn-CS" w:eastAsia="sr-Latn-CS"/>
        </w:rPr>
        <w:t>,</w:t>
      </w:r>
      <w:r w:rsidRPr="00012625">
        <w:rPr>
          <w:rFonts w:ascii="Times New Roman" w:eastAsia="Times New Roman" w:hAnsi="Times New Roman" w:cs="Times New Roman"/>
          <w:sz w:val="24"/>
          <w:szCs w:val="24"/>
          <w:lang w:val="sr-Latn-CS" w:eastAsia="sr-Latn-CS"/>
        </w:rPr>
        <w:t xml:space="preserve"> 1–28.</w:t>
      </w:r>
      <w:r w:rsidRPr="00EB143C">
        <w:t xml:space="preserve"> </w:t>
      </w:r>
      <w:hyperlink r:id="rId16" w:history="1">
        <w:r w:rsidRPr="00EB143C">
          <w:rPr>
            <w:rStyle w:val="Hyperlink"/>
            <w:rFonts w:ascii="Times New Roman" w:eastAsia="Times New Roman" w:hAnsi="Times New Roman" w:cs="Times New Roman"/>
            <w:color w:val="auto"/>
            <w:sz w:val="24"/>
            <w:szCs w:val="24"/>
            <w:u w:val="none"/>
            <w:lang w:eastAsia="sr-Latn-CS"/>
          </w:rPr>
          <w:t>doi.org/10.1086/727028</w:t>
        </w:r>
      </w:hyperlink>
    </w:p>
    <w:p w14:paraId="2C226B80"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 xml:space="preserve">Lussier, P., McCuish, </w:t>
      </w:r>
      <w:r>
        <w:rPr>
          <w:rFonts w:ascii="Times New Roman" w:eastAsia="Times New Roman" w:hAnsi="Times New Roman" w:cs="Times New Roman"/>
          <w:sz w:val="24"/>
          <w:szCs w:val="24"/>
          <w:lang w:val="sr-Latn-CS" w:eastAsia="sr-Latn-CS"/>
        </w:rPr>
        <w:t xml:space="preserve">E., St-Pierre, E., &amp; Baguet, A. L. (2025). </w:t>
      </w:r>
      <w:r w:rsidRPr="00012625">
        <w:rPr>
          <w:rFonts w:ascii="Times New Roman" w:eastAsia="Times New Roman" w:hAnsi="Times New Roman" w:cs="Times New Roman"/>
          <w:sz w:val="24"/>
          <w:szCs w:val="24"/>
          <w:lang w:val="sr-Latn-CS" w:eastAsia="sr-Latn-CS"/>
        </w:rPr>
        <w:t>Examining benchmarks of sexual recidivism rates for short, moderate, and long-term follow-up periods: A meta-analysis of</w:t>
      </w:r>
      <w:r>
        <w:rPr>
          <w:rFonts w:ascii="Times New Roman" w:eastAsia="Times New Roman" w:hAnsi="Times New Roman" w:cs="Times New Roman"/>
          <w:sz w:val="24"/>
          <w:szCs w:val="24"/>
          <w:lang w:val="sr-Latn-CS" w:eastAsia="sr-Latn-CS"/>
        </w:rPr>
        <w:t xml:space="preserve"> Canadian and American studies.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Trauma, Violence, &amp; Abuse, </w:t>
      </w:r>
      <w:r w:rsidRPr="00F5017F">
        <w:rPr>
          <w:rFonts w:ascii="Times New Roman" w:eastAsia="Times New Roman" w:hAnsi="Times New Roman" w:cs="Times New Roman"/>
          <w:iCs/>
          <w:sz w:val="24"/>
          <w:szCs w:val="24"/>
          <w:lang w:val="sr-Latn-CS" w:eastAsia="sr-Latn-CS"/>
        </w:rPr>
        <w:t>0</w:t>
      </w:r>
      <w:r w:rsidRPr="00012625">
        <w:rPr>
          <w:rFonts w:ascii="Times New Roman" w:eastAsia="Times New Roman" w:hAnsi="Times New Roman" w:cs="Times New Roman"/>
          <w:sz w:val="24"/>
          <w:szCs w:val="24"/>
          <w:lang w:val="sr-Latn-CS" w:eastAsia="sr-Latn-CS"/>
        </w:rPr>
        <w:t xml:space="preserve">(0). </w:t>
      </w:r>
      <w:hyperlink r:id="rId17" w:tgtFrame="_new" w:history="1">
        <w:r w:rsidRPr="00EB143C">
          <w:rPr>
            <w:rStyle w:val="Hyperlink"/>
            <w:rFonts w:ascii="Times New Roman" w:eastAsia="Times New Roman" w:hAnsi="Times New Roman" w:cs="Times New Roman"/>
            <w:color w:val="auto"/>
            <w:sz w:val="24"/>
            <w:szCs w:val="24"/>
            <w:u w:val="none"/>
            <w:lang w:val="sr-Latn-CS" w:eastAsia="sr-Latn-CS"/>
          </w:rPr>
          <w:t>doi.org/10.1177/15248380251338791</w:t>
        </w:r>
      </w:hyperlink>
    </w:p>
    <w:p w14:paraId="72E458AA"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Mulder, E. A., Brand, E., Bullens, R.,</w:t>
      </w:r>
      <w:r>
        <w:rPr>
          <w:rFonts w:ascii="Times New Roman" w:eastAsia="Times New Roman" w:hAnsi="Times New Roman" w:cs="Times New Roman"/>
          <w:sz w:val="24"/>
          <w:szCs w:val="24"/>
          <w:lang w:val="sr-Latn-CS" w:eastAsia="sr-Latn-CS"/>
        </w:rPr>
        <w:t xml:space="preserve"> &amp; van Marle, H. J. C. (2010). </w:t>
      </w:r>
      <w:r w:rsidRPr="00012625">
        <w:rPr>
          <w:rFonts w:ascii="Times New Roman" w:eastAsia="Times New Roman" w:hAnsi="Times New Roman" w:cs="Times New Roman"/>
          <w:sz w:val="24"/>
          <w:szCs w:val="24"/>
          <w:lang w:val="sr-Latn-CS" w:eastAsia="sr-Latn-CS"/>
        </w:rPr>
        <w:t>Risk factors for overall recidivism and severity of recidivism</w:t>
      </w:r>
      <w:r>
        <w:rPr>
          <w:rFonts w:ascii="Times New Roman" w:eastAsia="Times New Roman" w:hAnsi="Times New Roman" w:cs="Times New Roman"/>
          <w:sz w:val="24"/>
          <w:szCs w:val="24"/>
          <w:lang w:val="sr-Latn-CS" w:eastAsia="sr-Latn-CS"/>
        </w:rPr>
        <w:t xml:space="preserve"> in serious juvenile offenders.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International Journal of Offender Therapy and Comparative Criminology, </w:t>
      </w:r>
      <w:r w:rsidRPr="00F5017F">
        <w:rPr>
          <w:rFonts w:ascii="Times New Roman" w:eastAsia="Times New Roman" w:hAnsi="Times New Roman" w:cs="Times New Roman"/>
          <w:iCs/>
          <w:sz w:val="24"/>
          <w:szCs w:val="24"/>
          <w:lang w:val="sr-Latn-CS" w:eastAsia="sr-Latn-CS"/>
        </w:rPr>
        <w:t>55</w:t>
      </w:r>
      <w:r w:rsidRPr="00012625">
        <w:rPr>
          <w:rFonts w:ascii="Times New Roman" w:eastAsia="Times New Roman" w:hAnsi="Times New Roman" w:cs="Times New Roman"/>
          <w:sz w:val="24"/>
          <w:szCs w:val="24"/>
          <w:lang w:val="sr-Latn-CS" w:eastAsia="sr-Latn-CS"/>
        </w:rPr>
        <w:t xml:space="preserve">(1), 118–135. </w:t>
      </w:r>
      <w:hyperlink r:id="rId18" w:tgtFrame="_new" w:history="1">
        <w:r w:rsidRPr="00EB143C">
          <w:rPr>
            <w:rStyle w:val="Hyperlink"/>
            <w:rFonts w:ascii="Times New Roman" w:eastAsia="Times New Roman" w:hAnsi="Times New Roman" w:cs="Times New Roman"/>
            <w:color w:val="auto"/>
            <w:sz w:val="24"/>
            <w:szCs w:val="24"/>
            <w:u w:val="none"/>
            <w:lang w:val="sr-Latn-CS" w:eastAsia="sr-Latn-CS"/>
          </w:rPr>
          <w:t>doi.org/10.1177/0306624X09356683</w:t>
        </w:r>
      </w:hyperlink>
    </w:p>
    <w:p w14:paraId="3D2A63F3" w14:textId="77777777" w:rsidR="00175894"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Oljača, M., Baić, V., &amp; Radovanović, I. (2024)</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 xml:space="preserve">Incidence of crimes against sexual freedom: </w:t>
      </w:r>
      <w:r>
        <w:rPr>
          <w:rFonts w:ascii="Times New Roman" w:eastAsia="Times New Roman" w:hAnsi="Times New Roman" w:cs="Times New Roman"/>
          <w:sz w:val="24"/>
          <w:szCs w:val="24"/>
          <w:lang w:val="sr-Latn-CS" w:eastAsia="sr-Latn-CS"/>
        </w:rPr>
        <w:t>Adult and juvenile perpetrators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Security</w:t>
      </w:r>
      <w:r w:rsidRPr="00775D47">
        <w:rPr>
          <w:rFonts w:ascii="Times New Roman" w:eastAsia="Times New Roman" w:hAnsi="Times New Roman" w:cs="Times New Roman"/>
          <w:sz w:val="24"/>
          <w:szCs w:val="24"/>
          <w:lang w:val="sr-Latn-CS" w:eastAsia="sr-Latn-CS"/>
        </w:rPr>
        <w:t xml:space="preserve">, 66(3), 5–22. </w:t>
      </w:r>
      <w:hyperlink r:id="rId19" w:history="1">
        <w:r w:rsidRPr="00EB143C">
          <w:rPr>
            <w:rStyle w:val="Hyperlink"/>
            <w:rFonts w:ascii="Times New Roman" w:eastAsia="Times New Roman" w:hAnsi="Times New Roman" w:cs="Times New Roman"/>
            <w:color w:val="auto"/>
            <w:sz w:val="24"/>
            <w:szCs w:val="24"/>
            <w:u w:val="none"/>
            <w:lang w:val="sr-Latn-CS" w:eastAsia="sr-Latn-CS"/>
          </w:rPr>
          <w:t>doi.org/10.5937/bezbednost2403005O</w:t>
        </w:r>
      </w:hyperlink>
    </w:p>
    <w:p w14:paraId="1E49343A" w14:textId="77777777" w:rsidR="00175894" w:rsidRPr="00EB143C" w:rsidRDefault="00175894" w:rsidP="00175894">
      <w:pPr>
        <w:spacing w:after="0" w:line="360" w:lineRule="auto"/>
        <w:ind w:left="567" w:hanging="567"/>
        <w:jc w:val="both"/>
        <w:rPr>
          <w:rFonts w:ascii="Times New Roman" w:eastAsia="Times New Roman" w:hAnsi="Times New Roman" w:cs="Times New Roman"/>
          <w:b/>
          <w:bCs/>
          <w:sz w:val="24"/>
          <w:szCs w:val="24"/>
          <w:lang w:val="sr-Latn-CS" w:eastAsia="sr-Latn-CS"/>
        </w:rPr>
      </w:pPr>
      <w:r w:rsidRPr="00775D47">
        <w:rPr>
          <w:rFonts w:ascii="Times New Roman" w:eastAsia="Times New Roman" w:hAnsi="Times New Roman" w:cs="Times New Roman"/>
          <w:sz w:val="24"/>
          <w:szCs w:val="24"/>
          <w:lang w:val="sr-Latn-CS" w:eastAsia="sr-Latn-CS"/>
        </w:rPr>
        <w:t>Oljača, M., Sadiković, S., Dinić, B., &amp; Baić, V. (2021)</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Dark Tetrad and psychological distress among male violent offend</w:t>
      </w:r>
      <w:r>
        <w:rPr>
          <w:rFonts w:ascii="Times New Roman" w:eastAsia="Times New Roman" w:hAnsi="Times New Roman" w:cs="Times New Roman"/>
          <w:sz w:val="24"/>
          <w:szCs w:val="24"/>
          <w:lang w:val="sr-Latn-CS" w:eastAsia="sr-Latn-CS"/>
        </w:rPr>
        <w:t>ers and male community adults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Applied Psychology</w:t>
      </w:r>
      <w:r w:rsidRPr="00775D47">
        <w:rPr>
          <w:rFonts w:ascii="Times New Roman" w:eastAsia="Times New Roman" w:hAnsi="Times New Roman" w:cs="Times New Roman"/>
          <w:sz w:val="24"/>
          <w:szCs w:val="24"/>
          <w:lang w:val="sr-Latn-CS" w:eastAsia="sr-Latn-CS"/>
        </w:rPr>
        <w:t>, 14(4), 509–537.</w:t>
      </w:r>
      <w:r w:rsidRPr="00EB143C">
        <w:rPr>
          <w:rFonts w:ascii="Times New Roman" w:eastAsia="Times New Roman" w:hAnsi="Times New Roman" w:cs="Times New Roman"/>
          <w:sz w:val="24"/>
          <w:szCs w:val="24"/>
          <w:lang w:val="sr-Latn-CS" w:eastAsia="sr-Latn-CS"/>
        </w:rPr>
        <w:t xml:space="preserve"> </w:t>
      </w:r>
      <w:hyperlink r:id="rId20" w:history="1">
        <w:r w:rsidRPr="00EB143C">
          <w:rPr>
            <w:rStyle w:val="Hyperlink"/>
            <w:rFonts w:ascii="Times New Roman" w:eastAsia="Times New Roman" w:hAnsi="Times New Roman" w:cs="Times New Roman"/>
            <w:color w:val="auto"/>
            <w:sz w:val="24"/>
            <w:szCs w:val="24"/>
            <w:u w:val="none"/>
            <w:lang w:val="sr-Latn-CS" w:eastAsia="sr-Latn-CS"/>
          </w:rPr>
          <w:t>doi.org/10.19090/pp.2021.4.509-537</w:t>
        </w:r>
      </w:hyperlink>
    </w:p>
    <w:p w14:paraId="0DB58F89" w14:textId="4C1AAC58" w:rsidR="004C51AE" w:rsidRPr="004C51AE" w:rsidRDefault="004C51AE"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4C51AE">
        <w:rPr>
          <w:rFonts w:ascii="Times New Roman" w:hAnsi="Times New Roman" w:cs="Times New Roman"/>
          <w:sz w:val="24"/>
          <w:szCs w:val="24"/>
        </w:rPr>
        <w:t xml:space="preserve">Steffensmeier, D., Slepicka, J., &amp; Schwartz, J. (2025). </w:t>
      </w:r>
      <w:r w:rsidRPr="004C51AE">
        <w:rPr>
          <w:rFonts w:ascii="Times New Roman" w:hAnsi="Times New Roman" w:cs="Times New Roman"/>
          <w:i/>
          <w:iCs/>
          <w:sz w:val="24"/>
          <w:szCs w:val="24"/>
        </w:rPr>
        <w:t>International and historical variation in the age–crime curve</w:t>
      </w:r>
      <w:r w:rsidRPr="004C51AE">
        <w:rPr>
          <w:rFonts w:ascii="Times New Roman" w:hAnsi="Times New Roman" w:cs="Times New Roman"/>
          <w:sz w:val="24"/>
          <w:szCs w:val="24"/>
        </w:rPr>
        <w:t xml:space="preserve">. </w:t>
      </w:r>
      <w:r w:rsidRPr="004C51AE">
        <w:rPr>
          <w:rFonts w:ascii="Times New Roman" w:hAnsi="Times New Roman" w:cs="Times New Roman"/>
          <w:i/>
          <w:iCs/>
          <w:sz w:val="24"/>
          <w:szCs w:val="24"/>
        </w:rPr>
        <w:t>Annual Review of Criminology, 8</w:t>
      </w:r>
      <w:r w:rsidRPr="004C51AE">
        <w:rPr>
          <w:rFonts w:ascii="Times New Roman" w:hAnsi="Times New Roman" w:cs="Times New Roman"/>
          <w:sz w:val="24"/>
          <w:szCs w:val="24"/>
        </w:rPr>
        <w:t xml:space="preserve">(1), 239–268. </w:t>
      </w:r>
      <w:hyperlink r:id="rId21" w:tgtFrame="_new" w:history="1">
        <w:r w:rsidRPr="004C51AE">
          <w:rPr>
            <w:rFonts w:ascii="Times New Roman" w:hAnsi="Times New Roman" w:cs="Times New Roman"/>
            <w:sz w:val="24"/>
            <w:szCs w:val="24"/>
          </w:rPr>
          <w:t>https://doi.org/10.1146/annurev-criminol-111523-122451</w:t>
        </w:r>
      </w:hyperlink>
    </w:p>
    <w:p w14:paraId="1618009C"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van den Berg, J. W., van Beek, D., Bouman, Y. H. A., Janssen, E., S</w:t>
      </w:r>
      <w:r>
        <w:rPr>
          <w:rFonts w:ascii="Times New Roman" w:eastAsia="Times New Roman" w:hAnsi="Times New Roman" w:cs="Times New Roman"/>
          <w:sz w:val="24"/>
          <w:szCs w:val="24"/>
          <w:lang w:val="sr-Latn-CS" w:eastAsia="sr-Latn-CS"/>
        </w:rPr>
        <w:t xml:space="preserve">mid, W. J., &amp; Gijs, L. (2024). </w:t>
      </w:r>
      <w:r w:rsidRPr="00012625">
        <w:rPr>
          <w:rFonts w:ascii="Times New Roman" w:eastAsia="Times New Roman" w:hAnsi="Times New Roman" w:cs="Times New Roman"/>
          <w:sz w:val="24"/>
          <w:szCs w:val="24"/>
          <w:lang w:val="sr-Latn-CS" w:eastAsia="sr-Latn-CS"/>
        </w:rPr>
        <w:t>Understanding the risk of sexual reoffending in ad</w:t>
      </w:r>
      <w:r>
        <w:rPr>
          <w:rFonts w:ascii="Times New Roman" w:eastAsia="Times New Roman" w:hAnsi="Times New Roman" w:cs="Times New Roman"/>
          <w:sz w:val="24"/>
          <w:szCs w:val="24"/>
          <w:lang w:val="sr-Latn-CS" w:eastAsia="sr-Latn-CS"/>
        </w:rPr>
        <w:t>ult men: A network-based model.</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Journal of Interpersonal Violence, </w:t>
      </w:r>
      <w:r w:rsidRPr="00F5017F">
        <w:rPr>
          <w:rFonts w:ascii="Times New Roman" w:eastAsia="Times New Roman" w:hAnsi="Times New Roman" w:cs="Times New Roman"/>
          <w:iCs/>
          <w:sz w:val="24"/>
          <w:szCs w:val="24"/>
          <w:lang w:val="sr-Latn-CS" w:eastAsia="sr-Latn-CS"/>
        </w:rPr>
        <w:t>36</w:t>
      </w:r>
      <w:r w:rsidRPr="00012625">
        <w:rPr>
          <w:rFonts w:ascii="Times New Roman" w:eastAsia="Times New Roman" w:hAnsi="Times New Roman" w:cs="Times New Roman"/>
          <w:sz w:val="24"/>
          <w:szCs w:val="24"/>
          <w:lang w:val="sr-Latn-CS" w:eastAsia="sr-Latn-CS"/>
        </w:rPr>
        <w:t xml:space="preserve">(2), 135–157. </w:t>
      </w:r>
      <w:hyperlink r:id="rId22" w:tgtFrame="_new" w:history="1">
        <w:r w:rsidRPr="00EB143C">
          <w:rPr>
            <w:rStyle w:val="Hyperlink"/>
            <w:rFonts w:ascii="Times New Roman" w:eastAsia="Times New Roman" w:hAnsi="Times New Roman" w:cs="Times New Roman"/>
            <w:color w:val="auto"/>
            <w:sz w:val="24"/>
            <w:szCs w:val="24"/>
            <w:u w:val="none"/>
            <w:lang w:val="sr-Latn-CS" w:eastAsia="sr-Latn-CS"/>
          </w:rPr>
          <w:t>doi.org/10.1177/10790632231153633</w:t>
        </w:r>
      </w:hyperlink>
    </w:p>
    <w:p w14:paraId="647C1646" w14:textId="77777777" w:rsidR="00175894" w:rsidRPr="00AF677A"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Yukhnenko, D., Blac</w:t>
      </w:r>
      <w:r>
        <w:rPr>
          <w:rFonts w:ascii="Times New Roman" w:eastAsia="Times New Roman" w:hAnsi="Times New Roman" w:cs="Times New Roman"/>
          <w:sz w:val="24"/>
          <w:szCs w:val="24"/>
          <w:lang w:val="sr-Latn-CS" w:eastAsia="sr-Latn-CS"/>
        </w:rPr>
        <w:t xml:space="preserve">kwood, N., &amp; Fazel, S. (2020). </w:t>
      </w:r>
      <w:r w:rsidRPr="00012625">
        <w:rPr>
          <w:rFonts w:ascii="Times New Roman" w:eastAsia="Times New Roman" w:hAnsi="Times New Roman" w:cs="Times New Roman"/>
          <w:sz w:val="24"/>
          <w:szCs w:val="24"/>
          <w:lang w:val="sr-Latn-CS" w:eastAsia="sr-Latn-CS"/>
        </w:rPr>
        <w:t>Risk factors for recidivism in individuals receiving community sentences: A systematic review and meta-an</w:t>
      </w:r>
      <w:r>
        <w:rPr>
          <w:rFonts w:ascii="Times New Roman" w:eastAsia="Times New Roman" w:hAnsi="Times New Roman" w:cs="Times New Roman"/>
          <w:sz w:val="24"/>
          <w:szCs w:val="24"/>
          <w:lang w:val="sr-Latn-CS" w:eastAsia="sr-Latn-CS"/>
        </w:rPr>
        <w:t>alysis.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CNS Spectrums, </w:t>
      </w:r>
      <w:r w:rsidRPr="00F5017F">
        <w:rPr>
          <w:rFonts w:ascii="Times New Roman" w:eastAsia="Times New Roman" w:hAnsi="Times New Roman" w:cs="Times New Roman"/>
          <w:iCs/>
          <w:sz w:val="24"/>
          <w:szCs w:val="24"/>
          <w:lang w:val="sr-Latn-CS" w:eastAsia="sr-Latn-CS"/>
        </w:rPr>
        <w:t>25</w:t>
      </w:r>
      <w:r w:rsidRPr="00012625">
        <w:rPr>
          <w:rFonts w:ascii="Times New Roman" w:eastAsia="Times New Roman" w:hAnsi="Times New Roman" w:cs="Times New Roman"/>
          <w:sz w:val="24"/>
          <w:szCs w:val="24"/>
          <w:lang w:val="sr-Latn-CS" w:eastAsia="sr-Latn-CS"/>
        </w:rPr>
        <w:t xml:space="preserve">(2), 252–263. </w:t>
      </w:r>
      <w:hyperlink r:id="rId23" w:tgtFrame="_new" w:history="1">
        <w:r w:rsidRPr="00996550">
          <w:rPr>
            <w:rStyle w:val="Hyperlink"/>
            <w:rFonts w:ascii="Times New Roman" w:eastAsia="Times New Roman" w:hAnsi="Times New Roman" w:cs="Times New Roman"/>
            <w:color w:val="auto"/>
            <w:sz w:val="24"/>
            <w:szCs w:val="24"/>
            <w:u w:val="none"/>
            <w:lang w:val="sr-Latn-CS" w:eastAsia="sr-Latn-CS"/>
          </w:rPr>
          <w:t>doi.org/10.1017/S1092852919001056</w:t>
        </w:r>
      </w:hyperlink>
    </w:p>
    <w:p w14:paraId="0BBCEF45" w14:textId="07590C01" w:rsidR="00D90DE2" w:rsidRPr="00AE0B67" w:rsidRDefault="00175894" w:rsidP="00175894">
      <w:pPr>
        <w:spacing w:after="0" w:line="360" w:lineRule="auto"/>
        <w:ind w:left="567" w:hanging="567"/>
        <w:jc w:val="both"/>
        <w:rPr>
          <w:rFonts w:ascii="Times New Roman" w:hAnsi="Times New Roman" w:cs="Times New Roman"/>
          <w:iCs/>
          <w:sz w:val="24"/>
          <w:szCs w:val="24"/>
        </w:rPr>
      </w:pPr>
      <w:r w:rsidRPr="00012625">
        <w:rPr>
          <w:rFonts w:ascii="Times New Roman" w:eastAsia="Times New Roman" w:hAnsi="Times New Roman" w:cs="Times New Roman"/>
          <w:sz w:val="24"/>
          <w:szCs w:val="24"/>
          <w:lang w:val="sr-Latn-CS" w:eastAsia="sr-Latn-CS"/>
        </w:rPr>
        <w:t>Zgoba, K. M., Liu,</w:t>
      </w:r>
      <w:r>
        <w:rPr>
          <w:rFonts w:ascii="Times New Roman" w:eastAsia="Times New Roman" w:hAnsi="Times New Roman" w:cs="Times New Roman"/>
          <w:sz w:val="24"/>
          <w:szCs w:val="24"/>
          <w:lang w:val="sr-Latn-CS" w:eastAsia="sr-Latn-CS"/>
        </w:rPr>
        <w:t xml:space="preserve"> L., &amp; Matthews, D. T. (2023). </w:t>
      </w:r>
      <w:r w:rsidRPr="00012625">
        <w:rPr>
          <w:rFonts w:ascii="Times New Roman" w:eastAsia="Times New Roman" w:hAnsi="Times New Roman" w:cs="Times New Roman"/>
          <w:sz w:val="24"/>
          <w:szCs w:val="24"/>
          <w:lang w:val="sr-Latn-CS" w:eastAsia="sr-Latn-CS"/>
        </w:rPr>
        <w:t>Advancing research: An examination of differences in characteristics of sexual and non-sexual offense recidi</w:t>
      </w:r>
      <w:r>
        <w:rPr>
          <w:rFonts w:ascii="Times New Roman" w:eastAsia="Times New Roman" w:hAnsi="Times New Roman" w:cs="Times New Roman"/>
          <w:sz w:val="24"/>
          <w:szCs w:val="24"/>
          <w:lang w:val="sr-Latn-CS" w:eastAsia="sr-Latn-CS"/>
        </w:rPr>
        <w:t>vism using a 10-year follow-up.</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International Journal of Environmental Research and Public Health, </w:t>
      </w:r>
      <w:r w:rsidRPr="00F5017F">
        <w:rPr>
          <w:rFonts w:ascii="Times New Roman" w:eastAsia="Times New Roman" w:hAnsi="Times New Roman" w:cs="Times New Roman"/>
          <w:iCs/>
          <w:sz w:val="24"/>
          <w:szCs w:val="24"/>
          <w:lang w:val="sr-Latn-CS" w:eastAsia="sr-Latn-CS"/>
        </w:rPr>
        <w:t>20</w:t>
      </w:r>
      <w:r w:rsidRPr="00012625">
        <w:rPr>
          <w:rFonts w:ascii="Times New Roman" w:eastAsia="Times New Roman" w:hAnsi="Times New Roman" w:cs="Times New Roman"/>
          <w:sz w:val="24"/>
          <w:szCs w:val="24"/>
          <w:lang w:val="sr-Latn-CS" w:eastAsia="sr-Latn-CS"/>
        </w:rPr>
        <w:t xml:space="preserve">(13), 6212. </w:t>
      </w:r>
      <w:hyperlink r:id="rId24" w:tgtFrame="_new" w:history="1">
        <w:r w:rsidRPr="00996550">
          <w:rPr>
            <w:rStyle w:val="Hyperlink"/>
            <w:rFonts w:ascii="Times New Roman" w:eastAsia="Times New Roman" w:hAnsi="Times New Roman" w:cs="Times New Roman"/>
            <w:color w:val="auto"/>
            <w:sz w:val="24"/>
            <w:szCs w:val="24"/>
            <w:u w:val="none"/>
            <w:lang w:val="sr-Latn-CS" w:eastAsia="sr-Latn-CS"/>
          </w:rPr>
          <w:t>doi.org/10.3390/ijerph20136212</w:t>
        </w:r>
      </w:hyperlink>
    </w:p>
    <w:p w14:paraId="30F994CB" w14:textId="78A69F8A" w:rsidR="003F06C8" w:rsidRDefault="003F06C8" w:rsidP="00D008F5">
      <w:pPr>
        <w:spacing w:after="0" w:line="360" w:lineRule="auto"/>
        <w:jc w:val="both"/>
        <w:rPr>
          <w:rFonts w:ascii="Times New Roman" w:hAnsi="Times New Roman" w:cs="Times New Roman"/>
          <w:sz w:val="24"/>
          <w:szCs w:val="24"/>
          <w:lang w:val="en-GB"/>
        </w:rPr>
      </w:pPr>
    </w:p>
    <w:p w14:paraId="2B436127" w14:textId="54CA90B8" w:rsidR="00D008F5" w:rsidRDefault="00D008F5" w:rsidP="00D008F5">
      <w:pPr>
        <w:spacing w:after="0" w:line="360" w:lineRule="auto"/>
        <w:jc w:val="both"/>
        <w:rPr>
          <w:rFonts w:ascii="Times New Roman" w:hAnsi="Times New Roman" w:cs="Times New Roman"/>
          <w:sz w:val="24"/>
          <w:szCs w:val="24"/>
          <w:lang w:val="en-GB"/>
        </w:rPr>
      </w:pPr>
    </w:p>
    <w:p w14:paraId="7A1ED029" w14:textId="0C446EC9" w:rsidR="00D008F5" w:rsidRDefault="00D008F5" w:rsidP="00D008F5">
      <w:pPr>
        <w:spacing w:after="0" w:line="360" w:lineRule="auto"/>
        <w:jc w:val="both"/>
        <w:rPr>
          <w:rFonts w:ascii="Times New Roman" w:hAnsi="Times New Roman" w:cs="Times New Roman"/>
          <w:sz w:val="24"/>
          <w:szCs w:val="24"/>
          <w:lang w:val="en-GB"/>
        </w:rPr>
      </w:pPr>
    </w:p>
    <w:p w14:paraId="385AD469" w14:textId="57D8643A" w:rsidR="00D008F5" w:rsidRDefault="00D008F5" w:rsidP="00D008F5">
      <w:pPr>
        <w:spacing w:after="0" w:line="360" w:lineRule="auto"/>
        <w:jc w:val="both"/>
        <w:rPr>
          <w:rFonts w:ascii="Times New Roman" w:hAnsi="Times New Roman" w:cs="Times New Roman"/>
          <w:sz w:val="24"/>
          <w:szCs w:val="24"/>
          <w:lang w:val="en-GB"/>
        </w:rPr>
      </w:pPr>
    </w:p>
    <w:p w14:paraId="2389F2D8" w14:textId="3661FBF0" w:rsidR="00D008F5" w:rsidRDefault="00D008F5" w:rsidP="00D008F5">
      <w:pPr>
        <w:spacing w:after="0" w:line="360" w:lineRule="auto"/>
        <w:jc w:val="both"/>
        <w:rPr>
          <w:rFonts w:ascii="Times New Roman" w:hAnsi="Times New Roman" w:cs="Times New Roman"/>
          <w:sz w:val="24"/>
          <w:szCs w:val="24"/>
          <w:lang w:val="en-GB"/>
        </w:rPr>
      </w:pPr>
    </w:p>
    <w:p w14:paraId="680AF9CE" w14:textId="244E9390" w:rsidR="00D008F5" w:rsidRDefault="00D008F5" w:rsidP="00D008F5">
      <w:pPr>
        <w:spacing w:after="0" w:line="360" w:lineRule="auto"/>
        <w:jc w:val="both"/>
        <w:rPr>
          <w:rFonts w:ascii="Times New Roman" w:hAnsi="Times New Roman" w:cs="Times New Roman"/>
          <w:sz w:val="24"/>
          <w:szCs w:val="24"/>
          <w:lang w:val="en-GB"/>
        </w:rPr>
      </w:pPr>
    </w:p>
    <w:p w14:paraId="757FCDBB" w14:textId="61BF3A84" w:rsidR="00D008F5" w:rsidRDefault="00D008F5" w:rsidP="00D008F5">
      <w:pPr>
        <w:spacing w:after="0" w:line="360" w:lineRule="auto"/>
        <w:jc w:val="both"/>
        <w:rPr>
          <w:rFonts w:ascii="Times New Roman" w:hAnsi="Times New Roman" w:cs="Times New Roman"/>
          <w:sz w:val="24"/>
          <w:szCs w:val="24"/>
          <w:lang w:val="en-GB"/>
        </w:rPr>
      </w:pPr>
    </w:p>
    <w:p w14:paraId="0034CFF8" w14:textId="77777777" w:rsidR="00D008F5" w:rsidRPr="00175894" w:rsidRDefault="00D008F5" w:rsidP="00D008F5">
      <w:pPr>
        <w:spacing w:after="0" w:line="360" w:lineRule="auto"/>
        <w:jc w:val="both"/>
        <w:rPr>
          <w:rFonts w:ascii="Times New Roman" w:hAnsi="Times New Roman" w:cs="Times New Roman"/>
          <w:sz w:val="24"/>
          <w:szCs w:val="24"/>
          <w:lang w:val="en-GB"/>
        </w:rPr>
      </w:pPr>
    </w:p>
    <w:p w14:paraId="544E7A6D" w14:textId="77777777" w:rsidR="00AE0B67" w:rsidRPr="00AE0B67" w:rsidRDefault="00AE0B67" w:rsidP="00AE0B67">
      <w:pPr>
        <w:spacing w:after="0" w:line="360" w:lineRule="auto"/>
        <w:jc w:val="center"/>
        <w:rPr>
          <w:rFonts w:ascii="Times New Roman" w:eastAsia="Times New Roman" w:hAnsi="Times New Roman" w:cs="Times New Roman"/>
          <w:b/>
          <w:bCs/>
          <w:sz w:val="24"/>
          <w:szCs w:val="24"/>
          <w:lang w:val="sr-Latn-CS" w:eastAsia="sr-Latn-CS"/>
        </w:rPr>
      </w:pPr>
      <w:r w:rsidRPr="00AE0B67">
        <w:rPr>
          <w:rFonts w:ascii="Times New Roman" w:eastAsia="Times New Roman" w:hAnsi="Times New Roman" w:cs="Times New Roman"/>
          <w:b/>
          <w:bCs/>
          <w:sz w:val="24"/>
          <w:szCs w:val="24"/>
          <w:lang w:val="sr-Latn-CS" w:eastAsia="sr-Latn-CS"/>
        </w:rPr>
        <w:t>РЕЦИДИВИЗАМ СИЛОВАТЕЉА: РЕТРОСПЕКТИВНА АНАЛИЗА СТАТИЧНИХ И ДИНАМИЧКИХ ФАКТОРА РИЗИКА</w:t>
      </w:r>
    </w:p>
    <w:p w14:paraId="53E766BE" w14:textId="77777777" w:rsidR="00AE0B67" w:rsidRPr="003F06C8" w:rsidRDefault="00AE0B67" w:rsidP="00AE0B67">
      <w:pPr>
        <w:spacing w:after="0" w:line="360" w:lineRule="auto"/>
        <w:ind w:firstLine="567"/>
        <w:jc w:val="both"/>
        <w:rPr>
          <w:rFonts w:ascii="Times New Roman" w:eastAsia="Times New Roman" w:hAnsi="Times New Roman" w:cs="Times New Roman"/>
          <w:sz w:val="10"/>
          <w:szCs w:val="10"/>
          <w:lang w:val="sr-Latn-CS" w:eastAsia="sr-Latn-CS"/>
        </w:rPr>
      </w:pPr>
      <w:r w:rsidRPr="00AE0B67">
        <w:rPr>
          <w:rFonts w:ascii="Times New Roman" w:eastAsia="Times New Roman" w:hAnsi="Times New Roman" w:cs="Times New Roman"/>
          <w:sz w:val="24"/>
          <w:szCs w:val="24"/>
          <w:lang w:val="sr-Latn-CS" w:eastAsia="sr-Latn-CS"/>
        </w:rPr>
        <w:t xml:space="preserve">                                                      </w:t>
      </w:r>
    </w:p>
    <w:p w14:paraId="699D31C5" w14:textId="6F5D63C8" w:rsidR="00AE0B67" w:rsidRPr="00AE0B67" w:rsidRDefault="00AE0B67" w:rsidP="00AE0B67">
      <w:pPr>
        <w:spacing w:after="0" w:line="360" w:lineRule="auto"/>
        <w:ind w:firstLine="567"/>
        <w:jc w:val="center"/>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Резиме</w:t>
      </w:r>
    </w:p>
    <w:p w14:paraId="4E8B3073" w14:textId="77777777" w:rsidR="00AE0B67" w:rsidRPr="003F06C8" w:rsidRDefault="00AE0B67" w:rsidP="00AE0B67">
      <w:pPr>
        <w:spacing w:after="0" w:line="360" w:lineRule="auto"/>
        <w:ind w:firstLine="567"/>
        <w:jc w:val="both"/>
        <w:rPr>
          <w:rFonts w:ascii="Times New Roman" w:eastAsia="Times New Roman" w:hAnsi="Times New Roman" w:cs="Times New Roman"/>
          <w:sz w:val="10"/>
          <w:szCs w:val="10"/>
          <w:lang w:val="sr-Latn-CS" w:eastAsia="sr-Latn-CS"/>
        </w:rPr>
      </w:pPr>
    </w:p>
    <w:p w14:paraId="4CCE9C78" w14:textId="77777777"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Ово истраживање испитује везу између статичких и динамичких фактора ризика и вероватноће повратништва код лица осуђених за кривично дело силовања у Републици Србији. Упркос распрострањеним уверењима о високим стопама рецидивизма, претходна истраживања показују значајну хетерогеност у профилима сексуалних преступника, као и различите ризике поновљеног преступа у зависности од старости, криминалне историје, психопатолошких карактеристика и социјалних услова.</w:t>
      </w:r>
    </w:p>
    <w:p w14:paraId="2D5588A1" w14:textId="7D3BC7C8"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Циљ овог рада био је да се кроз ретроспективну анализу података из званичних евиденција утврди који статички (старост, демографске карактеристике, пре</w:t>
      </w:r>
      <w:r w:rsidR="002314F6">
        <w:rPr>
          <w:rFonts w:ascii="Times New Roman" w:eastAsia="Times New Roman" w:hAnsi="Times New Roman" w:cs="Times New Roman"/>
          <w:sz w:val="24"/>
          <w:szCs w:val="24"/>
          <w:lang w:val="sr-Latn-CS" w:eastAsia="sr-Latn-CS"/>
        </w:rPr>
        <w:t>тходна осуђиваност</w:t>
      </w:r>
      <w:r w:rsidRPr="00AE0B67">
        <w:rPr>
          <w:rFonts w:ascii="Times New Roman" w:eastAsia="Times New Roman" w:hAnsi="Times New Roman" w:cs="Times New Roman"/>
          <w:sz w:val="24"/>
          <w:szCs w:val="24"/>
          <w:lang w:val="sr-Latn-CS" w:eastAsia="sr-Latn-CS"/>
        </w:rPr>
        <w:t>) и динамички фактори (поремећаји личности, злоупотреба алкохола и дрога, радни и третмански ангажман) разликују између осуђеника који нису повратници, повратника за друга сексуална дела и повратника за силовање. Узорак је обухватио 560 осуђених лица у периоду 2014–2023. године, а примењене статистичке технике укључивале су анализу фреквенција, Пирсонов χ² тест и једнофакторску ANOVA анализу.</w:t>
      </w:r>
    </w:p>
    <w:p w14:paraId="45674495" w14:textId="1093EB15"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Резултати указују да од статичких фактора ј</w:t>
      </w:r>
      <w:r w:rsidR="00394A58">
        <w:rPr>
          <w:rFonts w:ascii="Times New Roman" w:eastAsia="Times New Roman" w:hAnsi="Times New Roman" w:cs="Times New Roman"/>
          <w:sz w:val="24"/>
          <w:szCs w:val="24"/>
          <w:lang w:val="sr-Latn-CS" w:eastAsia="sr-Latn-CS"/>
        </w:rPr>
        <w:t xml:space="preserve">едино старост показује </w:t>
      </w:r>
      <w:r w:rsidRPr="00AE0B67">
        <w:rPr>
          <w:rFonts w:ascii="Times New Roman" w:eastAsia="Times New Roman" w:hAnsi="Times New Roman" w:cs="Times New Roman"/>
          <w:sz w:val="24"/>
          <w:szCs w:val="24"/>
          <w:lang w:val="sr-Latn-CS" w:eastAsia="sr-Latn-CS"/>
        </w:rPr>
        <w:t>разлику између група, при чему су повратници за друга сексуална кривична дела били старији од осуђеника који н</w:t>
      </w:r>
      <w:r w:rsidR="002314F6">
        <w:rPr>
          <w:rFonts w:ascii="Times New Roman" w:eastAsia="Times New Roman" w:hAnsi="Times New Roman" w:cs="Times New Roman"/>
          <w:sz w:val="24"/>
          <w:szCs w:val="24"/>
          <w:lang w:val="sr-Latn-CS" w:eastAsia="sr-Latn-CS"/>
        </w:rPr>
        <w:t>ису повратници, док образовање</w:t>
      </w:r>
      <w:r w:rsidR="002314F6">
        <w:rPr>
          <w:rFonts w:ascii="Times New Roman" w:eastAsia="Times New Roman" w:hAnsi="Times New Roman" w:cs="Times New Roman"/>
          <w:sz w:val="24"/>
          <w:szCs w:val="24"/>
          <w:lang w:val="sr-Cyrl-RS" w:eastAsia="sr-Latn-CS"/>
        </w:rPr>
        <w:t xml:space="preserve"> и </w:t>
      </w:r>
      <w:r w:rsidRPr="00AE0B67">
        <w:rPr>
          <w:rFonts w:ascii="Times New Roman" w:eastAsia="Times New Roman" w:hAnsi="Times New Roman" w:cs="Times New Roman"/>
          <w:sz w:val="24"/>
          <w:szCs w:val="24"/>
          <w:lang w:val="sr-Latn-CS" w:eastAsia="sr-Latn-CS"/>
        </w:rPr>
        <w:t>брачни статус нису имали предиктивну вредност. Динамички фактори показали су јаснију повезаност са поновљеним извршењем кривичног дела: поремећаји личности били су знатно чешћи међу повратницима, што указује на могућу улогу психопатологије у одржавању делинквентног понашања, док је радни ангажман деловао као заштитни фактор. Учествовање у специјализованим програмима, нарочито програмима за управљање бесом, било је чешће међу повратницима за силовање, што може одражавати повећану препознату потребу за интервенцијом, али ретроспективни дизајн заснован на административним евиденцијама не омогућава процену ефективности ових програма.</w:t>
      </w:r>
    </w:p>
    <w:p w14:paraId="25BED588" w14:textId="77777777"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У целини, налази указују на значај примене интегрисаних модела процене ризика који комбинују статичке и динамичке индикаторе ради бољег одређивања степена ризика и циљања интервенција на оне факторе који су променљиви и подложни третману. Добијени резултати потврђују потребу за систематичнијом проценом поремећаја личности, већом подршком радној и социјалној стабилизацији током издржавања казне и прецизнијом евалуацијом постојећих рехабилитационих програма. Будућа истраживања треба да обухвате праћење осуђених након отпуста како би се добили подаци о дугорочним резултатима третмана и стварним стопама рецидивизма, што представља кључни предуслов за унапређење политика у области извршења кривичних санкција и заштите од сексуалног насиља.</w:t>
      </w:r>
    </w:p>
    <w:p w14:paraId="5DFB2FB7" w14:textId="77777777" w:rsidR="00AE0B67" w:rsidRPr="00E2464D" w:rsidRDefault="00AE0B67" w:rsidP="00AE0B67">
      <w:pPr>
        <w:spacing w:after="0" w:line="360" w:lineRule="auto"/>
        <w:jc w:val="center"/>
        <w:rPr>
          <w:rFonts w:ascii="Times New Roman" w:hAnsi="Times New Roman" w:cs="Times New Roman"/>
          <w:i/>
          <w:sz w:val="24"/>
          <w:szCs w:val="24"/>
        </w:rPr>
      </w:pPr>
      <w:r w:rsidRPr="00E2464D">
        <w:rPr>
          <w:rFonts w:ascii="Times New Roman" w:hAnsi="Times New Roman" w:cs="Times New Roman"/>
          <w:i/>
          <w:sz w:val="24"/>
          <w:szCs w:val="24"/>
        </w:rPr>
        <w:t>Acknowledgment</w:t>
      </w:r>
    </w:p>
    <w:p w14:paraId="08626995" w14:textId="77777777" w:rsidR="00AE0B67" w:rsidRPr="00E2464D" w:rsidRDefault="00AE0B67" w:rsidP="00AE0B67">
      <w:pPr>
        <w:spacing w:after="0" w:line="360" w:lineRule="auto"/>
        <w:jc w:val="center"/>
        <w:rPr>
          <w:rFonts w:ascii="Times New Roman" w:hAnsi="Times New Roman" w:cs="Times New Roman"/>
          <w:i/>
          <w:sz w:val="10"/>
          <w:szCs w:val="10"/>
        </w:rPr>
      </w:pPr>
    </w:p>
    <w:p w14:paraId="42793466" w14:textId="77777777" w:rsidR="00AE0B67" w:rsidRDefault="00AE0B67" w:rsidP="00AE0B67">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The authors express their gratitude to the Ministry of Justice of the Republic of Serbia and the Administration for the Enforcement of Criminal Sanctions for their cooperation and for providing the official data used in this scientific research.</w:t>
      </w:r>
    </w:p>
    <w:p w14:paraId="1A1B95B3" w14:textId="77777777" w:rsidR="00AE0B67" w:rsidRPr="00E2464D" w:rsidRDefault="00AE0B67" w:rsidP="00F958D3">
      <w:pPr>
        <w:spacing w:after="0" w:line="360" w:lineRule="auto"/>
        <w:ind w:firstLine="567"/>
        <w:jc w:val="both"/>
        <w:rPr>
          <w:rFonts w:ascii="Times New Roman" w:eastAsia="Times New Roman" w:hAnsi="Times New Roman" w:cs="Times New Roman"/>
          <w:sz w:val="24"/>
          <w:szCs w:val="24"/>
          <w:lang w:val="sr-Latn-CS" w:eastAsia="sr-Latn-CS"/>
        </w:rPr>
      </w:pPr>
    </w:p>
    <w:sectPr w:rsidR="00AE0B67" w:rsidRPr="00E2464D" w:rsidSect="000902B9">
      <w:pgSz w:w="12240" w:h="15840"/>
      <w:pgMar w:top="1418" w:right="1418" w:bottom="1418" w:left="1418"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A11C45" w16cid:durableId="2D1C7958"/>
  <w16cid:commentId w16cid:paraId="705611E5" w16cid:durableId="2D1DC7DF"/>
  <w16cid:commentId w16cid:paraId="63CF18BF" w16cid:durableId="2D1C96B2"/>
  <w16cid:commentId w16cid:paraId="1B220850" w16cid:durableId="2D1C9786"/>
  <w16cid:commentId w16cid:paraId="371AD435" w16cid:durableId="2D1DC995"/>
  <w16cid:commentId w16cid:paraId="5ABC3ABB" w16cid:durableId="2D1C7E0E"/>
  <w16cid:commentId w16cid:paraId="6D181ABF" w16cid:durableId="2D1C7FBF"/>
  <w16cid:commentId w16cid:paraId="70D09355" w16cid:durableId="2D1C7F53"/>
  <w16cid:commentId w16cid:paraId="5F2789C0" w16cid:durableId="2D1C8009"/>
  <w16cid:commentId w16cid:paraId="23D7102A" w16cid:durableId="2D1C80D1"/>
  <w16cid:commentId w16cid:paraId="2679F059" w16cid:durableId="2D1C8B85"/>
  <w16cid:commentId w16cid:paraId="206ABEFD" w16cid:durableId="2D1C8C91"/>
  <w16cid:commentId w16cid:paraId="2824336B" w16cid:durableId="2D1C8CB9"/>
  <w16cid:commentId w16cid:paraId="5A93D1AE" w16cid:durableId="2D1C9374"/>
  <w16cid:commentId w16cid:paraId="4663E55E" w16cid:durableId="2D1C9330"/>
  <w16cid:commentId w16cid:paraId="59E56ABB" w16cid:durableId="2D1C930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92D0E" w14:textId="77777777" w:rsidR="006B2F6F" w:rsidRDefault="006B2F6F" w:rsidP="00D07192">
      <w:pPr>
        <w:spacing w:after="0" w:line="240" w:lineRule="auto"/>
      </w:pPr>
      <w:r>
        <w:separator/>
      </w:r>
    </w:p>
  </w:endnote>
  <w:endnote w:type="continuationSeparator" w:id="0">
    <w:p w14:paraId="61977FF6" w14:textId="77777777" w:rsidR="006B2F6F" w:rsidRDefault="006B2F6F" w:rsidP="00D07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CYR">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49151"/>
      <w:docPartObj>
        <w:docPartGallery w:val="Page Numbers (Bottom of Page)"/>
        <w:docPartUnique/>
      </w:docPartObj>
    </w:sdtPr>
    <w:sdtEndPr>
      <w:rPr>
        <w:noProof/>
      </w:rPr>
    </w:sdtEndPr>
    <w:sdtContent>
      <w:p w14:paraId="5B2920E8" w14:textId="0F3DE0B4" w:rsidR="007F3448" w:rsidRDefault="007F3448">
        <w:pPr>
          <w:pStyle w:val="Footer"/>
          <w:jc w:val="right"/>
        </w:pPr>
        <w:r>
          <w:fldChar w:fldCharType="begin"/>
        </w:r>
        <w:r>
          <w:instrText xml:space="preserve"> PAGE   \* MERGEFORMAT </w:instrText>
        </w:r>
        <w:r>
          <w:fldChar w:fldCharType="separate"/>
        </w:r>
        <w:r w:rsidR="006B2F6F">
          <w:rPr>
            <w:noProof/>
          </w:rPr>
          <w:t>1</w:t>
        </w:r>
        <w:r>
          <w:rPr>
            <w:noProof/>
          </w:rPr>
          <w:fldChar w:fldCharType="end"/>
        </w:r>
      </w:p>
    </w:sdtContent>
  </w:sdt>
  <w:p w14:paraId="53E05559" w14:textId="77777777" w:rsidR="007F3448" w:rsidRDefault="007F344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773F5" w14:textId="77777777" w:rsidR="006B2F6F" w:rsidRDefault="006B2F6F" w:rsidP="00D07192">
      <w:pPr>
        <w:spacing w:after="0" w:line="240" w:lineRule="auto"/>
      </w:pPr>
      <w:r>
        <w:separator/>
      </w:r>
    </w:p>
  </w:footnote>
  <w:footnote w:type="continuationSeparator" w:id="0">
    <w:p w14:paraId="2EFA3412" w14:textId="77777777" w:rsidR="006B2F6F" w:rsidRDefault="006B2F6F" w:rsidP="00D07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34D22"/>
    <w:multiLevelType w:val="hybridMultilevel"/>
    <w:tmpl w:val="F29C05A8"/>
    <w:lvl w:ilvl="0" w:tplc="73702482">
      <w:start w:val="1"/>
      <w:numFmt w:val="decimal"/>
      <w:lvlText w:val="%1."/>
      <w:lvlJc w:val="left"/>
      <w:pPr>
        <w:ind w:left="720" w:hanging="360"/>
      </w:pPr>
      <w:rPr>
        <w:color w:val="auto"/>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 w15:restartNumberingAfterBreak="0">
    <w:nsid w:val="210F0059"/>
    <w:multiLevelType w:val="hybridMultilevel"/>
    <w:tmpl w:val="446AF458"/>
    <w:lvl w:ilvl="0" w:tplc="3A82DFFA">
      <w:start w:val="1"/>
      <w:numFmt w:val="decimal"/>
      <w:lvlText w:val="%1."/>
      <w:legacy w:legacy="1" w:legacySpace="0" w:legacyIndent="360"/>
      <w:lvlJc w:val="left"/>
      <w:pPr>
        <w:ind w:left="4320" w:firstLine="0"/>
      </w:pPr>
      <w:rPr>
        <w:rFonts w:ascii="Times New Roman CYR" w:hAnsi="Times New Roman CYR" w:cs="Times New Roman" w:hint="default"/>
      </w:r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2" w15:restartNumberingAfterBreak="0">
    <w:nsid w:val="220D016B"/>
    <w:multiLevelType w:val="multilevel"/>
    <w:tmpl w:val="3BFC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1"/>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316"/>
    <w:rsid w:val="00000E4B"/>
    <w:rsid w:val="000044B5"/>
    <w:rsid w:val="00004D27"/>
    <w:rsid w:val="00012625"/>
    <w:rsid w:val="000130E2"/>
    <w:rsid w:val="00020298"/>
    <w:rsid w:val="00020690"/>
    <w:rsid w:val="00023D1B"/>
    <w:rsid w:val="00026894"/>
    <w:rsid w:val="00026F28"/>
    <w:rsid w:val="00030A2B"/>
    <w:rsid w:val="000311AC"/>
    <w:rsid w:val="00032286"/>
    <w:rsid w:val="00035137"/>
    <w:rsid w:val="00035681"/>
    <w:rsid w:val="0004766D"/>
    <w:rsid w:val="00052C95"/>
    <w:rsid w:val="0006543D"/>
    <w:rsid w:val="00073860"/>
    <w:rsid w:val="00076FD0"/>
    <w:rsid w:val="00082DEB"/>
    <w:rsid w:val="00085660"/>
    <w:rsid w:val="000863FC"/>
    <w:rsid w:val="0008777A"/>
    <w:rsid w:val="00087DD3"/>
    <w:rsid w:val="000902B9"/>
    <w:rsid w:val="00090E67"/>
    <w:rsid w:val="00091722"/>
    <w:rsid w:val="00093040"/>
    <w:rsid w:val="00094199"/>
    <w:rsid w:val="000A2294"/>
    <w:rsid w:val="000A2BBE"/>
    <w:rsid w:val="000A3899"/>
    <w:rsid w:val="000A4D6C"/>
    <w:rsid w:val="000A5BA4"/>
    <w:rsid w:val="000A63F3"/>
    <w:rsid w:val="000A67A4"/>
    <w:rsid w:val="000B07B8"/>
    <w:rsid w:val="000B5C08"/>
    <w:rsid w:val="000C0087"/>
    <w:rsid w:val="000C08CC"/>
    <w:rsid w:val="000C1FC6"/>
    <w:rsid w:val="000C24A7"/>
    <w:rsid w:val="000C5848"/>
    <w:rsid w:val="000D0A7F"/>
    <w:rsid w:val="000D2067"/>
    <w:rsid w:val="000E06CF"/>
    <w:rsid w:val="000E1BAF"/>
    <w:rsid w:val="000E26D2"/>
    <w:rsid w:val="000E432D"/>
    <w:rsid w:val="000E5225"/>
    <w:rsid w:val="000E7721"/>
    <w:rsid w:val="000F324F"/>
    <w:rsid w:val="000F34F2"/>
    <w:rsid w:val="000F411A"/>
    <w:rsid w:val="000F6C7E"/>
    <w:rsid w:val="000F7456"/>
    <w:rsid w:val="000F7C9C"/>
    <w:rsid w:val="001010FB"/>
    <w:rsid w:val="001028A6"/>
    <w:rsid w:val="001034CC"/>
    <w:rsid w:val="00104334"/>
    <w:rsid w:val="0010457B"/>
    <w:rsid w:val="00106BAE"/>
    <w:rsid w:val="001120D1"/>
    <w:rsid w:val="00113DA8"/>
    <w:rsid w:val="00116CC7"/>
    <w:rsid w:val="00117B64"/>
    <w:rsid w:val="00117DF4"/>
    <w:rsid w:val="00125594"/>
    <w:rsid w:val="001268B7"/>
    <w:rsid w:val="0013078C"/>
    <w:rsid w:val="0013499D"/>
    <w:rsid w:val="00137B34"/>
    <w:rsid w:val="00137E72"/>
    <w:rsid w:val="00141D65"/>
    <w:rsid w:val="00143AFD"/>
    <w:rsid w:val="00145E04"/>
    <w:rsid w:val="00146E2D"/>
    <w:rsid w:val="001477B9"/>
    <w:rsid w:val="00147D22"/>
    <w:rsid w:val="001505B8"/>
    <w:rsid w:val="00150724"/>
    <w:rsid w:val="00153106"/>
    <w:rsid w:val="00154AD9"/>
    <w:rsid w:val="0015575B"/>
    <w:rsid w:val="001578A6"/>
    <w:rsid w:val="00157C08"/>
    <w:rsid w:val="00160954"/>
    <w:rsid w:val="001610E3"/>
    <w:rsid w:val="00164C4E"/>
    <w:rsid w:val="00165023"/>
    <w:rsid w:val="00166CBF"/>
    <w:rsid w:val="001675F3"/>
    <w:rsid w:val="00167BC2"/>
    <w:rsid w:val="00167C3D"/>
    <w:rsid w:val="00170549"/>
    <w:rsid w:val="00171941"/>
    <w:rsid w:val="00171BAF"/>
    <w:rsid w:val="001726F6"/>
    <w:rsid w:val="00173B57"/>
    <w:rsid w:val="00173C28"/>
    <w:rsid w:val="00175894"/>
    <w:rsid w:val="001765EE"/>
    <w:rsid w:val="001828A8"/>
    <w:rsid w:val="001830DB"/>
    <w:rsid w:val="0018721C"/>
    <w:rsid w:val="00187F64"/>
    <w:rsid w:val="00190F3D"/>
    <w:rsid w:val="00193961"/>
    <w:rsid w:val="0019487B"/>
    <w:rsid w:val="001951F0"/>
    <w:rsid w:val="00195E3A"/>
    <w:rsid w:val="00197176"/>
    <w:rsid w:val="00197302"/>
    <w:rsid w:val="001975C2"/>
    <w:rsid w:val="00197E13"/>
    <w:rsid w:val="001A0920"/>
    <w:rsid w:val="001A2A8D"/>
    <w:rsid w:val="001B0876"/>
    <w:rsid w:val="001B2F4F"/>
    <w:rsid w:val="001B40D7"/>
    <w:rsid w:val="001B459C"/>
    <w:rsid w:val="001B70A3"/>
    <w:rsid w:val="001C17D7"/>
    <w:rsid w:val="001C53E8"/>
    <w:rsid w:val="001D05B1"/>
    <w:rsid w:val="001D0C91"/>
    <w:rsid w:val="001D52D0"/>
    <w:rsid w:val="001D7BB0"/>
    <w:rsid w:val="001E3673"/>
    <w:rsid w:val="001F22B1"/>
    <w:rsid w:val="001F2AD4"/>
    <w:rsid w:val="001F2C79"/>
    <w:rsid w:val="001F4087"/>
    <w:rsid w:val="001F46EE"/>
    <w:rsid w:val="001F6387"/>
    <w:rsid w:val="001F667A"/>
    <w:rsid w:val="001F7721"/>
    <w:rsid w:val="001F7B47"/>
    <w:rsid w:val="002029B4"/>
    <w:rsid w:val="00202CAA"/>
    <w:rsid w:val="00202D16"/>
    <w:rsid w:val="0020477F"/>
    <w:rsid w:val="00204A6A"/>
    <w:rsid w:val="00205D57"/>
    <w:rsid w:val="0020776B"/>
    <w:rsid w:val="00207858"/>
    <w:rsid w:val="00212D9E"/>
    <w:rsid w:val="00214814"/>
    <w:rsid w:val="00214D27"/>
    <w:rsid w:val="00216333"/>
    <w:rsid w:val="002216D5"/>
    <w:rsid w:val="00221A22"/>
    <w:rsid w:val="00225C64"/>
    <w:rsid w:val="00226C58"/>
    <w:rsid w:val="0023043F"/>
    <w:rsid w:val="002314F6"/>
    <w:rsid w:val="002339E8"/>
    <w:rsid w:val="002415F5"/>
    <w:rsid w:val="0024216F"/>
    <w:rsid w:val="002424A0"/>
    <w:rsid w:val="00243FE1"/>
    <w:rsid w:val="00244310"/>
    <w:rsid w:val="00246B0B"/>
    <w:rsid w:val="0024772C"/>
    <w:rsid w:val="00251938"/>
    <w:rsid w:val="002520AB"/>
    <w:rsid w:val="00254446"/>
    <w:rsid w:val="002556B3"/>
    <w:rsid w:val="002606C2"/>
    <w:rsid w:val="00260C6B"/>
    <w:rsid w:val="00261D9B"/>
    <w:rsid w:val="00263AEC"/>
    <w:rsid w:val="00263FC6"/>
    <w:rsid w:val="00266B49"/>
    <w:rsid w:val="00270797"/>
    <w:rsid w:val="002718EF"/>
    <w:rsid w:val="00274E9C"/>
    <w:rsid w:val="00274FC3"/>
    <w:rsid w:val="00275740"/>
    <w:rsid w:val="00275A07"/>
    <w:rsid w:val="00275EAD"/>
    <w:rsid w:val="002768BD"/>
    <w:rsid w:val="00280736"/>
    <w:rsid w:val="00284DD3"/>
    <w:rsid w:val="00286D40"/>
    <w:rsid w:val="00287887"/>
    <w:rsid w:val="00287917"/>
    <w:rsid w:val="002915EB"/>
    <w:rsid w:val="002921BC"/>
    <w:rsid w:val="00293BD7"/>
    <w:rsid w:val="002954D7"/>
    <w:rsid w:val="002958F8"/>
    <w:rsid w:val="002A0B23"/>
    <w:rsid w:val="002A153E"/>
    <w:rsid w:val="002A2816"/>
    <w:rsid w:val="002A32DF"/>
    <w:rsid w:val="002A76D4"/>
    <w:rsid w:val="002B21CC"/>
    <w:rsid w:val="002B2A4F"/>
    <w:rsid w:val="002B65BA"/>
    <w:rsid w:val="002B6DB7"/>
    <w:rsid w:val="002C1DBB"/>
    <w:rsid w:val="002C3BDF"/>
    <w:rsid w:val="002C3DD6"/>
    <w:rsid w:val="002C6363"/>
    <w:rsid w:val="002C78F1"/>
    <w:rsid w:val="002D0107"/>
    <w:rsid w:val="002D17FF"/>
    <w:rsid w:val="002D1CB1"/>
    <w:rsid w:val="002D3DF8"/>
    <w:rsid w:val="002D4DB0"/>
    <w:rsid w:val="002D65ED"/>
    <w:rsid w:val="002D6619"/>
    <w:rsid w:val="002E0571"/>
    <w:rsid w:val="002E2506"/>
    <w:rsid w:val="002E5F6B"/>
    <w:rsid w:val="002E721B"/>
    <w:rsid w:val="002F0C38"/>
    <w:rsid w:val="002F1E11"/>
    <w:rsid w:val="002F41F4"/>
    <w:rsid w:val="002F45A4"/>
    <w:rsid w:val="002F5713"/>
    <w:rsid w:val="002F5779"/>
    <w:rsid w:val="002F5BC4"/>
    <w:rsid w:val="002F6116"/>
    <w:rsid w:val="002F7EB3"/>
    <w:rsid w:val="00302A7B"/>
    <w:rsid w:val="00302E6F"/>
    <w:rsid w:val="00303EC2"/>
    <w:rsid w:val="003046AD"/>
    <w:rsid w:val="00306A64"/>
    <w:rsid w:val="00306AAB"/>
    <w:rsid w:val="0030758F"/>
    <w:rsid w:val="00307AF9"/>
    <w:rsid w:val="00311011"/>
    <w:rsid w:val="00311DA5"/>
    <w:rsid w:val="00314E83"/>
    <w:rsid w:val="0031546C"/>
    <w:rsid w:val="003158CF"/>
    <w:rsid w:val="003168FB"/>
    <w:rsid w:val="00324DDD"/>
    <w:rsid w:val="00330167"/>
    <w:rsid w:val="003301E1"/>
    <w:rsid w:val="00332617"/>
    <w:rsid w:val="00333ABF"/>
    <w:rsid w:val="00334D6A"/>
    <w:rsid w:val="00334DE8"/>
    <w:rsid w:val="00334E43"/>
    <w:rsid w:val="00340B6E"/>
    <w:rsid w:val="00347FF3"/>
    <w:rsid w:val="00350791"/>
    <w:rsid w:val="00353949"/>
    <w:rsid w:val="003551A0"/>
    <w:rsid w:val="0035572C"/>
    <w:rsid w:val="0036167F"/>
    <w:rsid w:val="003635E7"/>
    <w:rsid w:val="003657F9"/>
    <w:rsid w:val="00366DD2"/>
    <w:rsid w:val="00367421"/>
    <w:rsid w:val="00370A23"/>
    <w:rsid w:val="0037134D"/>
    <w:rsid w:val="00373D40"/>
    <w:rsid w:val="00375347"/>
    <w:rsid w:val="0037597D"/>
    <w:rsid w:val="003761DC"/>
    <w:rsid w:val="003772A2"/>
    <w:rsid w:val="003778BF"/>
    <w:rsid w:val="00377BA8"/>
    <w:rsid w:val="00381077"/>
    <w:rsid w:val="00385635"/>
    <w:rsid w:val="00392AA6"/>
    <w:rsid w:val="00394A58"/>
    <w:rsid w:val="00395A5B"/>
    <w:rsid w:val="00395AA4"/>
    <w:rsid w:val="0039734C"/>
    <w:rsid w:val="00397979"/>
    <w:rsid w:val="003A068C"/>
    <w:rsid w:val="003A11CA"/>
    <w:rsid w:val="003A2A76"/>
    <w:rsid w:val="003A5AC5"/>
    <w:rsid w:val="003B258F"/>
    <w:rsid w:val="003B4E46"/>
    <w:rsid w:val="003B7068"/>
    <w:rsid w:val="003C0827"/>
    <w:rsid w:val="003C2543"/>
    <w:rsid w:val="003C3D77"/>
    <w:rsid w:val="003C61E3"/>
    <w:rsid w:val="003C6EF9"/>
    <w:rsid w:val="003D128A"/>
    <w:rsid w:val="003D13E6"/>
    <w:rsid w:val="003D1B17"/>
    <w:rsid w:val="003D3C69"/>
    <w:rsid w:val="003D4FF5"/>
    <w:rsid w:val="003D5474"/>
    <w:rsid w:val="003D6197"/>
    <w:rsid w:val="003D6471"/>
    <w:rsid w:val="003D66FA"/>
    <w:rsid w:val="003D7687"/>
    <w:rsid w:val="003E3233"/>
    <w:rsid w:val="003E66B6"/>
    <w:rsid w:val="003E7C75"/>
    <w:rsid w:val="003F06C8"/>
    <w:rsid w:val="003F2844"/>
    <w:rsid w:val="003F2EF0"/>
    <w:rsid w:val="003F39E2"/>
    <w:rsid w:val="003F4CF9"/>
    <w:rsid w:val="003F6385"/>
    <w:rsid w:val="004008F7"/>
    <w:rsid w:val="00400A92"/>
    <w:rsid w:val="004017EC"/>
    <w:rsid w:val="00402074"/>
    <w:rsid w:val="00402195"/>
    <w:rsid w:val="0040368A"/>
    <w:rsid w:val="00410BF2"/>
    <w:rsid w:val="00412C67"/>
    <w:rsid w:val="00414E2A"/>
    <w:rsid w:val="00417E5B"/>
    <w:rsid w:val="00420B9C"/>
    <w:rsid w:val="00421B59"/>
    <w:rsid w:val="004249A4"/>
    <w:rsid w:val="00425BF6"/>
    <w:rsid w:val="004300AA"/>
    <w:rsid w:val="00434292"/>
    <w:rsid w:val="0043434A"/>
    <w:rsid w:val="004347DD"/>
    <w:rsid w:val="00440C6A"/>
    <w:rsid w:val="0044175F"/>
    <w:rsid w:val="004514F0"/>
    <w:rsid w:val="0045432C"/>
    <w:rsid w:val="00455030"/>
    <w:rsid w:val="0045560C"/>
    <w:rsid w:val="00455DBB"/>
    <w:rsid w:val="00456051"/>
    <w:rsid w:val="00456FFE"/>
    <w:rsid w:val="004570C8"/>
    <w:rsid w:val="0046028C"/>
    <w:rsid w:val="00461513"/>
    <w:rsid w:val="004622DB"/>
    <w:rsid w:val="00462EC4"/>
    <w:rsid w:val="00464CA1"/>
    <w:rsid w:val="004715EB"/>
    <w:rsid w:val="00471EF6"/>
    <w:rsid w:val="00491C9A"/>
    <w:rsid w:val="00494309"/>
    <w:rsid w:val="004950D5"/>
    <w:rsid w:val="004A0113"/>
    <w:rsid w:val="004A22F7"/>
    <w:rsid w:val="004A315D"/>
    <w:rsid w:val="004A48BF"/>
    <w:rsid w:val="004A4CEE"/>
    <w:rsid w:val="004B0239"/>
    <w:rsid w:val="004B4302"/>
    <w:rsid w:val="004C1D2F"/>
    <w:rsid w:val="004C26AD"/>
    <w:rsid w:val="004C51AE"/>
    <w:rsid w:val="004C61D6"/>
    <w:rsid w:val="004C6684"/>
    <w:rsid w:val="004D5E32"/>
    <w:rsid w:val="004D637B"/>
    <w:rsid w:val="004D6CB4"/>
    <w:rsid w:val="004E212F"/>
    <w:rsid w:val="004E2F69"/>
    <w:rsid w:val="004E5C0F"/>
    <w:rsid w:val="004E5D3E"/>
    <w:rsid w:val="004F3662"/>
    <w:rsid w:val="004F4085"/>
    <w:rsid w:val="004F6780"/>
    <w:rsid w:val="0050098B"/>
    <w:rsid w:val="0050553F"/>
    <w:rsid w:val="00505750"/>
    <w:rsid w:val="0050639E"/>
    <w:rsid w:val="0051208C"/>
    <w:rsid w:val="0052017C"/>
    <w:rsid w:val="0052296C"/>
    <w:rsid w:val="00523687"/>
    <w:rsid w:val="005301AE"/>
    <w:rsid w:val="005304B6"/>
    <w:rsid w:val="00534097"/>
    <w:rsid w:val="005340B1"/>
    <w:rsid w:val="0053464F"/>
    <w:rsid w:val="00534BDB"/>
    <w:rsid w:val="00534E2B"/>
    <w:rsid w:val="0054005C"/>
    <w:rsid w:val="0054056A"/>
    <w:rsid w:val="005408A2"/>
    <w:rsid w:val="00545D75"/>
    <w:rsid w:val="00550221"/>
    <w:rsid w:val="00550DEE"/>
    <w:rsid w:val="00553A6B"/>
    <w:rsid w:val="005559B2"/>
    <w:rsid w:val="005577B1"/>
    <w:rsid w:val="0056088E"/>
    <w:rsid w:val="00560AEE"/>
    <w:rsid w:val="005639B5"/>
    <w:rsid w:val="00563A29"/>
    <w:rsid w:val="0057245A"/>
    <w:rsid w:val="005727D9"/>
    <w:rsid w:val="00573273"/>
    <w:rsid w:val="00574CF4"/>
    <w:rsid w:val="00574D5C"/>
    <w:rsid w:val="00576666"/>
    <w:rsid w:val="00577933"/>
    <w:rsid w:val="005806FF"/>
    <w:rsid w:val="0058077E"/>
    <w:rsid w:val="00581470"/>
    <w:rsid w:val="00584949"/>
    <w:rsid w:val="00587555"/>
    <w:rsid w:val="00592D98"/>
    <w:rsid w:val="00593A9B"/>
    <w:rsid w:val="00594D15"/>
    <w:rsid w:val="00594E48"/>
    <w:rsid w:val="00595343"/>
    <w:rsid w:val="005A092C"/>
    <w:rsid w:val="005A1407"/>
    <w:rsid w:val="005A1A41"/>
    <w:rsid w:val="005A4125"/>
    <w:rsid w:val="005A5289"/>
    <w:rsid w:val="005A779F"/>
    <w:rsid w:val="005B258A"/>
    <w:rsid w:val="005B6F7B"/>
    <w:rsid w:val="005C0522"/>
    <w:rsid w:val="005C1726"/>
    <w:rsid w:val="005C1B32"/>
    <w:rsid w:val="005C3F48"/>
    <w:rsid w:val="005C47DA"/>
    <w:rsid w:val="005C7FF1"/>
    <w:rsid w:val="005D1A8D"/>
    <w:rsid w:val="005D253F"/>
    <w:rsid w:val="005D5485"/>
    <w:rsid w:val="005E0564"/>
    <w:rsid w:val="005E0FA8"/>
    <w:rsid w:val="005E3AC9"/>
    <w:rsid w:val="005E48B1"/>
    <w:rsid w:val="005E5CC8"/>
    <w:rsid w:val="005E781B"/>
    <w:rsid w:val="005F1A84"/>
    <w:rsid w:val="005F2F99"/>
    <w:rsid w:val="005F7ED9"/>
    <w:rsid w:val="00600C26"/>
    <w:rsid w:val="00600EA9"/>
    <w:rsid w:val="006048E6"/>
    <w:rsid w:val="00605048"/>
    <w:rsid w:val="00607D7A"/>
    <w:rsid w:val="00611649"/>
    <w:rsid w:val="0061240C"/>
    <w:rsid w:val="00612538"/>
    <w:rsid w:val="00613A4C"/>
    <w:rsid w:val="00613EC4"/>
    <w:rsid w:val="00623F9D"/>
    <w:rsid w:val="00624BB4"/>
    <w:rsid w:val="00627776"/>
    <w:rsid w:val="00632751"/>
    <w:rsid w:val="00632C1F"/>
    <w:rsid w:val="006333E5"/>
    <w:rsid w:val="00633EE8"/>
    <w:rsid w:val="00634316"/>
    <w:rsid w:val="00636651"/>
    <w:rsid w:val="006370C0"/>
    <w:rsid w:val="006418B4"/>
    <w:rsid w:val="00642B62"/>
    <w:rsid w:val="00642EA0"/>
    <w:rsid w:val="006438CF"/>
    <w:rsid w:val="00645D0E"/>
    <w:rsid w:val="006513DE"/>
    <w:rsid w:val="006523C4"/>
    <w:rsid w:val="00652E06"/>
    <w:rsid w:val="006532F8"/>
    <w:rsid w:val="00655245"/>
    <w:rsid w:val="0065644D"/>
    <w:rsid w:val="006706FB"/>
    <w:rsid w:val="00670BA1"/>
    <w:rsid w:val="006715E3"/>
    <w:rsid w:val="00677ACB"/>
    <w:rsid w:val="006833BD"/>
    <w:rsid w:val="00683B5A"/>
    <w:rsid w:val="006843B3"/>
    <w:rsid w:val="00684C2E"/>
    <w:rsid w:val="00686BEA"/>
    <w:rsid w:val="006915D8"/>
    <w:rsid w:val="0069183B"/>
    <w:rsid w:val="00692A3A"/>
    <w:rsid w:val="00694C43"/>
    <w:rsid w:val="00695A2D"/>
    <w:rsid w:val="00695E00"/>
    <w:rsid w:val="0069670F"/>
    <w:rsid w:val="006A2F49"/>
    <w:rsid w:val="006A4742"/>
    <w:rsid w:val="006B002D"/>
    <w:rsid w:val="006B120F"/>
    <w:rsid w:val="006B18DB"/>
    <w:rsid w:val="006B1BAF"/>
    <w:rsid w:val="006B1C01"/>
    <w:rsid w:val="006B2F6F"/>
    <w:rsid w:val="006B4E3B"/>
    <w:rsid w:val="006B6768"/>
    <w:rsid w:val="006C0FEB"/>
    <w:rsid w:val="006C2E92"/>
    <w:rsid w:val="006D0F48"/>
    <w:rsid w:val="006D16CA"/>
    <w:rsid w:val="006D1E9B"/>
    <w:rsid w:val="006D2C58"/>
    <w:rsid w:val="006D317C"/>
    <w:rsid w:val="006D540D"/>
    <w:rsid w:val="006D78B9"/>
    <w:rsid w:val="006E18F7"/>
    <w:rsid w:val="006E2399"/>
    <w:rsid w:val="006E655F"/>
    <w:rsid w:val="006E6977"/>
    <w:rsid w:val="006F142E"/>
    <w:rsid w:val="006F1909"/>
    <w:rsid w:val="006F34A2"/>
    <w:rsid w:val="006F3771"/>
    <w:rsid w:val="006F4E73"/>
    <w:rsid w:val="006F4F87"/>
    <w:rsid w:val="006F5331"/>
    <w:rsid w:val="00701871"/>
    <w:rsid w:val="00705D54"/>
    <w:rsid w:val="00706358"/>
    <w:rsid w:val="00706480"/>
    <w:rsid w:val="0070755E"/>
    <w:rsid w:val="00707EAB"/>
    <w:rsid w:val="0071273B"/>
    <w:rsid w:val="007148F4"/>
    <w:rsid w:val="007159B6"/>
    <w:rsid w:val="007172C0"/>
    <w:rsid w:val="00717F25"/>
    <w:rsid w:val="00720385"/>
    <w:rsid w:val="007204E3"/>
    <w:rsid w:val="00720D69"/>
    <w:rsid w:val="00722D6A"/>
    <w:rsid w:val="00723609"/>
    <w:rsid w:val="0072511B"/>
    <w:rsid w:val="00725A33"/>
    <w:rsid w:val="00726668"/>
    <w:rsid w:val="007309E0"/>
    <w:rsid w:val="00731842"/>
    <w:rsid w:val="0073330D"/>
    <w:rsid w:val="00733AF1"/>
    <w:rsid w:val="00735303"/>
    <w:rsid w:val="00735DD0"/>
    <w:rsid w:val="00736FD9"/>
    <w:rsid w:val="00737B15"/>
    <w:rsid w:val="00741552"/>
    <w:rsid w:val="007424C3"/>
    <w:rsid w:val="00746DAF"/>
    <w:rsid w:val="00753ADE"/>
    <w:rsid w:val="00754A68"/>
    <w:rsid w:val="00756189"/>
    <w:rsid w:val="00756603"/>
    <w:rsid w:val="00762736"/>
    <w:rsid w:val="00770FC4"/>
    <w:rsid w:val="007726FA"/>
    <w:rsid w:val="00775D47"/>
    <w:rsid w:val="00776223"/>
    <w:rsid w:val="00780A3F"/>
    <w:rsid w:val="00783A45"/>
    <w:rsid w:val="00785F78"/>
    <w:rsid w:val="007860F0"/>
    <w:rsid w:val="0078799A"/>
    <w:rsid w:val="00790272"/>
    <w:rsid w:val="00791E22"/>
    <w:rsid w:val="0079229E"/>
    <w:rsid w:val="007943AB"/>
    <w:rsid w:val="00797CFB"/>
    <w:rsid w:val="007A033E"/>
    <w:rsid w:val="007A257A"/>
    <w:rsid w:val="007B0FE6"/>
    <w:rsid w:val="007B1BF7"/>
    <w:rsid w:val="007B2388"/>
    <w:rsid w:val="007C2A48"/>
    <w:rsid w:val="007C42EE"/>
    <w:rsid w:val="007C43EB"/>
    <w:rsid w:val="007C6D5A"/>
    <w:rsid w:val="007D45E1"/>
    <w:rsid w:val="007D50A0"/>
    <w:rsid w:val="007D53E7"/>
    <w:rsid w:val="007E44B2"/>
    <w:rsid w:val="007E47B9"/>
    <w:rsid w:val="007E6AFA"/>
    <w:rsid w:val="007F1C15"/>
    <w:rsid w:val="007F22BD"/>
    <w:rsid w:val="007F3448"/>
    <w:rsid w:val="007F36A5"/>
    <w:rsid w:val="007F40C9"/>
    <w:rsid w:val="007F4FF8"/>
    <w:rsid w:val="007F612D"/>
    <w:rsid w:val="008058B7"/>
    <w:rsid w:val="00806126"/>
    <w:rsid w:val="00806577"/>
    <w:rsid w:val="008065ED"/>
    <w:rsid w:val="00806B07"/>
    <w:rsid w:val="00812D3C"/>
    <w:rsid w:val="0081433E"/>
    <w:rsid w:val="0081494D"/>
    <w:rsid w:val="008165EC"/>
    <w:rsid w:val="008166B7"/>
    <w:rsid w:val="008217B3"/>
    <w:rsid w:val="0082388E"/>
    <w:rsid w:val="008248CB"/>
    <w:rsid w:val="00830E6C"/>
    <w:rsid w:val="008310FD"/>
    <w:rsid w:val="008315A3"/>
    <w:rsid w:val="0083330E"/>
    <w:rsid w:val="008337AC"/>
    <w:rsid w:val="0083489C"/>
    <w:rsid w:val="00834ADB"/>
    <w:rsid w:val="0084145F"/>
    <w:rsid w:val="0084629B"/>
    <w:rsid w:val="008465C9"/>
    <w:rsid w:val="008474A9"/>
    <w:rsid w:val="0084779D"/>
    <w:rsid w:val="008504B1"/>
    <w:rsid w:val="0085427E"/>
    <w:rsid w:val="008564B4"/>
    <w:rsid w:val="00860A7D"/>
    <w:rsid w:val="00864280"/>
    <w:rsid w:val="0086436E"/>
    <w:rsid w:val="0086767F"/>
    <w:rsid w:val="00873BFD"/>
    <w:rsid w:val="00875A24"/>
    <w:rsid w:val="00881BA1"/>
    <w:rsid w:val="008821E0"/>
    <w:rsid w:val="00885BE6"/>
    <w:rsid w:val="00886889"/>
    <w:rsid w:val="00886FB3"/>
    <w:rsid w:val="00891F19"/>
    <w:rsid w:val="00896E2D"/>
    <w:rsid w:val="008A06E6"/>
    <w:rsid w:val="008A3764"/>
    <w:rsid w:val="008A4419"/>
    <w:rsid w:val="008A4941"/>
    <w:rsid w:val="008A5304"/>
    <w:rsid w:val="008A6F8A"/>
    <w:rsid w:val="008A7229"/>
    <w:rsid w:val="008A7267"/>
    <w:rsid w:val="008A7734"/>
    <w:rsid w:val="008B0167"/>
    <w:rsid w:val="008B13B5"/>
    <w:rsid w:val="008B1CD0"/>
    <w:rsid w:val="008B2C96"/>
    <w:rsid w:val="008B6350"/>
    <w:rsid w:val="008B7546"/>
    <w:rsid w:val="008C00FE"/>
    <w:rsid w:val="008C022F"/>
    <w:rsid w:val="008C26F9"/>
    <w:rsid w:val="008C31A4"/>
    <w:rsid w:val="008C38AE"/>
    <w:rsid w:val="008C448B"/>
    <w:rsid w:val="008C7176"/>
    <w:rsid w:val="008D2ED6"/>
    <w:rsid w:val="008D376C"/>
    <w:rsid w:val="008E0865"/>
    <w:rsid w:val="008E505C"/>
    <w:rsid w:val="008F18A9"/>
    <w:rsid w:val="008F2365"/>
    <w:rsid w:val="008F3D1A"/>
    <w:rsid w:val="008F5CAF"/>
    <w:rsid w:val="008F67D7"/>
    <w:rsid w:val="00900005"/>
    <w:rsid w:val="0090218D"/>
    <w:rsid w:val="00903700"/>
    <w:rsid w:val="00903777"/>
    <w:rsid w:val="0090436F"/>
    <w:rsid w:val="00904EAD"/>
    <w:rsid w:val="0090569B"/>
    <w:rsid w:val="00905FA6"/>
    <w:rsid w:val="0091017B"/>
    <w:rsid w:val="00913693"/>
    <w:rsid w:val="0091774A"/>
    <w:rsid w:val="00920FA0"/>
    <w:rsid w:val="009217EE"/>
    <w:rsid w:val="00921D39"/>
    <w:rsid w:val="00922095"/>
    <w:rsid w:val="00922A7B"/>
    <w:rsid w:val="0092413C"/>
    <w:rsid w:val="009255B9"/>
    <w:rsid w:val="009265DC"/>
    <w:rsid w:val="00926908"/>
    <w:rsid w:val="00926B46"/>
    <w:rsid w:val="009275FF"/>
    <w:rsid w:val="00936457"/>
    <w:rsid w:val="00942B08"/>
    <w:rsid w:val="009447E4"/>
    <w:rsid w:val="0094539E"/>
    <w:rsid w:val="009506B7"/>
    <w:rsid w:val="0095083F"/>
    <w:rsid w:val="00950AD3"/>
    <w:rsid w:val="00955DC2"/>
    <w:rsid w:val="00960017"/>
    <w:rsid w:val="00962750"/>
    <w:rsid w:val="00962BB0"/>
    <w:rsid w:val="009633F6"/>
    <w:rsid w:val="0096475B"/>
    <w:rsid w:val="009651C3"/>
    <w:rsid w:val="00966BAD"/>
    <w:rsid w:val="009679DC"/>
    <w:rsid w:val="009708A9"/>
    <w:rsid w:val="00973B6A"/>
    <w:rsid w:val="00975B40"/>
    <w:rsid w:val="00976422"/>
    <w:rsid w:val="00977212"/>
    <w:rsid w:val="00981737"/>
    <w:rsid w:val="009843BA"/>
    <w:rsid w:val="00984D43"/>
    <w:rsid w:val="009925FC"/>
    <w:rsid w:val="00996550"/>
    <w:rsid w:val="00997208"/>
    <w:rsid w:val="009A38D5"/>
    <w:rsid w:val="009A3E1E"/>
    <w:rsid w:val="009A6991"/>
    <w:rsid w:val="009B106F"/>
    <w:rsid w:val="009B15AD"/>
    <w:rsid w:val="009B6014"/>
    <w:rsid w:val="009C2DF1"/>
    <w:rsid w:val="009C7DD2"/>
    <w:rsid w:val="009D28C9"/>
    <w:rsid w:val="009D4228"/>
    <w:rsid w:val="009D4845"/>
    <w:rsid w:val="009D52A0"/>
    <w:rsid w:val="009D75F9"/>
    <w:rsid w:val="009D7758"/>
    <w:rsid w:val="009E06C5"/>
    <w:rsid w:val="009E1BAE"/>
    <w:rsid w:val="009E4639"/>
    <w:rsid w:val="009E5DA5"/>
    <w:rsid w:val="009E7041"/>
    <w:rsid w:val="009F12C5"/>
    <w:rsid w:val="009F17E4"/>
    <w:rsid w:val="009F3285"/>
    <w:rsid w:val="009F3C5E"/>
    <w:rsid w:val="009F4CD3"/>
    <w:rsid w:val="009F64B7"/>
    <w:rsid w:val="00A00B86"/>
    <w:rsid w:val="00A00DA2"/>
    <w:rsid w:val="00A00F9E"/>
    <w:rsid w:val="00A026F9"/>
    <w:rsid w:val="00A0292D"/>
    <w:rsid w:val="00A02AD9"/>
    <w:rsid w:val="00A02B5E"/>
    <w:rsid w:val="00A03B2C"/>
    <w:rsid w:val="00A046BA"/>
    <w:rsid w:val="00A0552F"/>
    <w:rsid w:val="00A120D4"/>
    <w:rsid w:val="00A14047"/>
    <w:rsid w:val="00A21B1C"/>
    <w:rsid w:val="00A225BB"/>
    <w:rsid w:val="00A250B8"/>
    <w:rsid w:val="00A32F05"/>
    <w:rsid w:val="00A332DF"/>
    <w:rsid w:val="00A36ECB"/>
    <w:rsid w:val="00A40307"/>
    <w:rsid w:val="00A408A7"/>
    <w:rsid w:val="00A4092E"/>
    <w:rsid w:val="00A42CC2"/>
    <w:rsid w:val="00A51F21"/>
    <w:rsid w:val="00A52B49"/>
    <w:rsid w:val="00A577FA"/>
    <w:rsid w:val="00A622D1"/>
    <w:rsid w:val="00A62FD6"/>
    <w:rsid w:val="00A64093"/>
    <w:rsid w:val="00A66A6B"/>
    <w:rsid w:val="00A7182E"/>
    <w:rsid w:val="00A726BA"/>
    <w:rsid w:val="00A76F24"/>
    <w:rsid w:val="00A8336D"/>
    <w:rsid w:val="00A83B31"/>
    <w:rsid w:val="00A85FFB"/>
    <w:rsid w:val="00A9108F"/>
    <w:rsid w:val="00A94C0C"/>
    <w:rsid w:val="00A96306"/>
    <w:rsid w:val="00A978DB"/>
    <w:rsid w:val="00A97CFE"/>
    <w:rsid w:val="00AA16BF"/>
    <w:rsid w:val="00AA2976"/>
    <w:rsid w:val="00AB175E"/>
    <w:rsid w:val="00AB1D4C"/>
    <w:rsid w:val="00AB1E0D"/>
    <w:rsid w:val="00AB3C58"/>
    <w:rsid w:val="00AB4455"/>
    <w:rsid w:val="00AB7F40"/>
    <w:rsid w:val="00AC0718"/>
    <w:rsid w:val="00AC291C"/>
    <w:rsid w:val="00AC3015"/>
    <w:rsid w:val="00AC48B6"/>
    <w:rsid w:val="00AC619F"/>
    <w:rsid w:val="00AC69AF"/>
    <w:rsid w:val="00AD06C9"/>
    <w:rsid w:val="00AD550C"/>
    <w:rsid w:val="00AD7787"/>
    <w:rsid w:val="00AE0179"/>
    <w:rsid w:val="00AE0B67"/>
    <w:rsid w:val="00AE1E25"/>
    <w:rsid w:val="00AE1EF1"/>
    <w:rsid w:val="00AE2BF4"/>
    <w:rsid w:val="00AE597C"/>
    <w:rsid w:val="00AE717A"/>
    <w:rsid w:val="00AF0308"/>
    <w:rsid w:val="00AF2B17"/>
    <w:rsid w:val="00AF4B1B"/>
    <w:rsid w:val="00AF51E1"/>
    <w:rsid w:val="00AF5B3F"/>
    <w:rsid w:val="00AF677A"/>
    <w:rsid w:val="00B01784"/>
    <w:rsid w:val="00B043D1"/>
    <w:rsid w:val="00B04D94"/>
    <w:rsid w:val="00B05996"/>
    <w:rsid w:val="00B100C7"/>
    <w:rsid w:val="00B10EF2"/>
    <w:rsid w:val="00B119BB"/>
    <w:rsid w:val="00B121FD"/>
    <w:rsid w:val="00B132F0"/>
    <w:rsid w:val="00B13CAA"/>
    <w:rsid w:val="00B14818"/>
    <w:rsid w:val="00B15A02"/>
    <w:rsid w:val="00B21379"/>
    <w:rsid w:val="00B21E18"/>
    <w:rsid w:val="00B2394E"/>
    <w:rsid w:val="00B2445F"/>
    <w:rsid w:val="00B25410"/>
    <w:rsid w:val="00B26E68"/>
    <w:rsid w:val="00B30CBB"/>
    <w:rsid w:val="00B3427D"/>
    <w:rsid w:val="00B3447F"/>
    <w:rsid w:val="00B35FBB"/>
    <w:rsid w:val="00B3666D"/>
    <w:rsid w:val="00B36841"/>
    <w:rsid w:val="00B43021"/>
    <w:rsid w:val="00B4610C"/>
    <w:rsid w:val="00B4751B"/>
    <w:rsid w:val="00B530E6"/>
    <w:rsid w:val="00B54E20"/>
    <w:rsid w:val="00B577BE"/>
    <w:rsid w:val="00B6059B"/>
    <w:rsid w:val="00B66CE4"/>
    <w:rsid w:val="00B67A7A"/>
    <w:rsid w:val="00B67F25"/>
    <w:rsid w:val="00B70ABF"/>
    <w:rsid w:val="00B71BFC"/>
    <w:rsid w:val="00B73953"/>
    <w:rsid w:val="00B73F9E"/>
    <w:rsid w:val="00B80BD1"/>
    <w:rsid w:val="00B81AEF"/>
    <w:rsid w:val="00B83542"/>
    <w:rsid w:val="00B87088"/>
    <w:rsid w:val="00B9019A"/>
    <w:rsid w:val="00B90B25"/>
    <w:rsid w:val="00B940E3"/>
    <w:rsid w:val="00B94ACE"/>
    <w:rsid w:val="00B94EF1"/>
    <w:rsid w:val="00B960BC"/>
    <w:rsid w:val="00B963B1"/>
    <w:rsid w:val="00B96B42"/>
    <w:rsid w:val="00BA101B"/>
    <w:rsid w:val="00BA628A"/>
    <w:rsid w:val="00BA7C7A"/>
    <w:rsid w:val="00BB3222"/>
    <w:rsid w:val="00BB560B"/>
    <w:rsid w:val="00BB5BF4"/>
    <w:rsid w:val="00BC22CD"/>
    <w:rsid w:val="00BC39C9"/>
    <w:rsid w:val="00BC3FE6"/>
    <w:rsid w:val="00BC446D"/>
    <w:rsid w:val="00BC50E4"/>
    <w:rsid w:val="00BC6C17"/>
    <w:rsid w:val="00BC718B"/>
    <w:rsid w:val="00BD2949"/>
    <w:rsid w:val="00BD4A51"/>
    <w:rsid w:val="00BD5BA8"/>
    <w:rsid w:val="00BD6092"/>
    <w:rsid w:val="00BE0F77"/>
    <w:rsid w:val="00BE232C"/>
    <w:rsid w:val="00BE243C"/>
    <w:rsid w:val="00BE47A9"/>
    <w:rsid w:val="00BE6CA2"/>
    <w:rsid w:val="00BE787D"/>
    <w:rsid w:val="00BE7DA5"/>
    <w:rsid w:val="00BF068D"/>
    <w:rsid w:val="00BF24A9"/>
    <w:rsid w:val="00BF4A64"/>
    <w:rsid w:val="00BF787E"/>
    <w:rsid w:val="00C00339"/>
    <w:rsid w:val="00C0055C"/>
    <w:rsid w:val="00C01B20"/>
    <w:rsid w:val="00C031F0"/>
    <w:rsid w:val="00C03314"/>
    <w:rsid w:val="00C05DF4"/>
    <w:rsid w:val="00C0702B"/>
    <w:rsid w:val="00C14097"/>
    <w:rsid w:val="00C165BA"/>
    <w:rsid w:val="00C217F1"/>
    <w:rsid w:val="00C21CF8"/>
    <w:rsid w:val="00C241A8"/>
    <w:rsid w:val="00C25054"/>
    <w:rsid w:val="00C259EC"/>
    <w:rsid w:val="00C25FC8"/>
    <w:rsid w:val="00C27708"/>
    <w:rsid w:val="00C31BC3"/>
    <w:rsid w:val="00C320BD"/>
    <w:rsid w:val="00C337F1"/>
    <w:rsid w:val="00C36F8E"/>
    <w:rsid w:val="00C420D9"/>
    <w:rsid w:val="00C46037"/>
    <w:rsid w:val="00C46F66"/>
    <w:rsid w:val="00C50497"/>
    <w:rsid w:val="00C537F7"/>
    <w:rsid w:val="00C561B7"/>
    <w:rsid w:val="00C56ECA"/>
    <w:rsid w:val="00C56F38"/>
    <w:rsid w:val="00C5748E"/>
    <w:rsid w:val="00C6196C"/>
    <w:rsid w:val="00C65804"/>
    <w:rsid w:val="00C742B5"/>
    <w:rsid w:val="00C75107"/>
    <w:rsid w:val="00C800F5"/>
    <w:rsid w:val="00C8152C"/>
    <w:rsid w:val="00C913EE"/>
    <w:rsid w:val="00C916DD"/>
    <w:rsid w:val="00C93527"/>
    <w:rsid w:val="00C93C72"/>
    <w:rsid w:val="00C942E9"/>
    <w:rsid w:val="00C965D1"/>
    <w:rsid w:val="00C96A31"/>
    <w:rsid w:val="00C96C6D"/>
    <w:rsid w:val="00C96EFE"/>
    <w:rsid w:val="00CA0156"/>
    <w:rsid w:val="00CA0E89"/>
    <w:rsid w:val="00CA4243"/>
    <w:rsid w:val="00CA6277"/>
    <w:rsid w:val="00CA6B62"/>
    <w:rsid w:val="00CA7B6D"/>
    <w:rsid w:val="00CB465F"/>
    <w:rsid w:val="00CB5C05"/>
    <w:rsid w:val="00CC03B9"/>
    <w:rsid w:val="00CC4D5E"/>
    <w:rsid w:val="00CC527A"/>
    <w:rsid w:val="00CC5CF9"/>
    <w:rsid w:val="00CD00DC"/>
    <w:rsid w:val="00CD3592"/>
    <w:rsid w:val="00CD4481"/>
    <w:rsid w:val="00CD4627"/>
    <w:rsid w:val="00CD588E"/>
    <w:rsid w:val="00CD59DC"/>
    <w:rsid w:val="00CD6348"/>
    <w:rsid w:val="00CD66D8"/>
    <w:rsid w:val="00CE3CD3"/>
    <w:rsid w:val="00CE582D"/>
    <w:rsid w:val="00CE70BD"/>
    <w:rsid w:val="00CF048C"/>
    <w:rsid w:val="00CF326B"/>
    <w:rsid w:val="00CF3D78"/>
    <w:rsid w:val="00CF5B3B"/>
    <w:rsid w:val="00CF7AF4"/>
    <w:rsid w:val="00D008F5"/>
    <w:rsid w:val="00D032A3"/>
    <w:rsid w:val="00D07192"/>
    <w:rsid w:val="00D07AFF"/>
    <w:rsid w:val="00D07D14"/>
    <w:rsid w:val="00D10F4C"/>
    <w:rsid w:val="00D16814"/>
    <w:rsid w:val="00D17448"/>
    <w:rsid w:val="00D17AE0"/>
    <w:rsid w:val="00D17F4A"/>
    <w:rsid w:val="00D20CE0"/>
    <w:rsid w:val="00D21368"/>
    <w:rsid w:val="00D21404"/>
    <w:rsid w:val="00D21D2B"/>
    <w:rsid w:val="00D2389A"/>
    <w:rsid w:val="00D258D1"/>
    <w:rsid w:val="00D25CB8"/>
    <w:rsid w:val="00D25D21"/>
    <w:rsid w:val="00D268FB"/>
    <w:rsid w:val="00D26947"/>
    <w:rsid w:val="00D32705"/>
    <w:rsid w:val="00D3486E"/>
    <w:rsid w:val="00D36AA9"/>
    <w:rsid w:val="00D37C19"/>
    <w:rsid w:val="00D40133"/>
    <w:rsid w:val="00D40F0A"/>
    <w:rsid w:val="00D44072"/>
    <w:rsid w:val="00D471A7"/>
    <w:rsid w:val="00D4740F"/>
    <w:rsid w:val="00D51B99"/>
    <w:rsid w:val="00D52DC5"/>
    <w:rsid w:val="00D54DD1"/>
    <w:rsid w:val="00D5760F"/>
    <w:rsid w:val="00D62403"/>
    <w:rsid w:val="00D63CAB"/>
    <w:rsid w:val="00D67E8B"/>
    <w:rsid w:val="00D710EA"/>
    <w:rsid w:val="00D7165B"/>
    <w:rsid w:val="00D716C6"/>
    <w:rsid w:val="00D7446C"/>
    <w:rsid w:val="00D81125"/>
    <w:rsid w:val="00D81BF6"/>
    <w:rsid w:val="00D82249"/>
    <w:rsid w:val="00D83812"/>
    <w:rsid w:val="00D8428A"/>
    <w:rsid w:val="00D85A56"/>
    <w:rsid w:val="00D85B40"/>
    <w:rsid w:val="00D90C83"/>
    <w:rsid w:val="00D90DE2"/>
    <w:rsid w:val="00D9142D"/>
    <w:rsid w:val="00DA3178"/>
    <w:rsid w:val="00DA716D"/>
    <w:rsid w:val="00DA7BDF"/>
    <w:rsid w:val="00DA7D9F"/>
    <w:rsid w:val="00DB0867"/>
    <w:rsid w:val="00DB0E3F"/>
    <w:rsid w:val="00DB0FAF"/>
    <w:rsid w:val="00DB215D"/>
    <w:rsid w:val="00DB2304"/>
    <w:rsid w:val="00DB676B"/>
    <w:rsid w:val="00DC135B"/>
    <w:rsid w:val="00DC1C35"/>
    <w:rsid w:val="00DC482F"/>
    <w:rsid w:val="00DC49C8"/>
    <w:rsid w:val="00DC69D5"/>
    <w:rsid w:val="00DC7197"/>
    <w:rsid w:val="00DC751A"/>
    <w:rsid w:val="00DC7D44"/>
    <w:rsid w:val="00DD0334"/>
    <w:rsid w:val="00DD3132"/>
    <w:rsid w:val="00DD6348"/>
    <w:rsid w:val="00DD70C0"/>
    <w:rsid w:val="00DE268E"/>
    <w:rsid w:val="00DE2C1F"/>
    <w:rsid w:val="00DE3783"/>
    <w:rsid w:val="00DE5E34"/>
    <w:rsid w:val="00DE7588"/>
    <w:rsid w:val="00DF1DC5"/>
    <w:rsid w:val="00DF362B"/>
    <w:rsid w:val="00DF3A89"/>
    <w:rsid w:val="00DF42EE"/>
    <w:rsid w:val="00DF55D5"/>
    <w:rsid w:val="00DF5803"/>
    <w:rsid w:val="00DF6E15"/>
    <w:rsid w:val="00DF6FBF"/>
    <w:rsid w:val="00DF7ED2"/>
    <w:rsid w:val="00E0456E"/>
    <w:rsid w:val="00E07C19"/>
    <w:rsid w:val="00E1156D"/>
    <w:rsid w:val="00E149EB"/>
    <w:rsid w:val="00E14A60"/>
    <w:rsid w:val="00E1771F"/>
    <w:rsid w:val="00E21C6E"/>
    <w:rsid w:val="00E230F9"/>
    <w:rsid w:val="00E2358A"/>
    <w:rsid w:val="00E23F9F"/>
    <w:rsid w:val="00E2464D"/>
    <w:rsid w:val="00E26B3E"/>
    <w:rsid w:val="00E27C55"/>
    <w:rsid w:val="00E30C93"/>
    <w:rsid w:val="00E32060"/>
    <w:rsid w:val="00E3379F"/>
    <w:rsid w:val="00E349E8"/>
    <w:rsid w:val="00E37818"/>
    <w:rsid w:val="00E43E37"/>
    <w:rsid w:val="00E45636"/>
    <w:rsid w:val="00E46151"/>
    <w:rsid w:val="00E47F0C"/>
    <w:rsid w:val="00E51ED9"/>
    <w:rsid w:val="00E526A2"/>
    <w:rsid w:val="00E53C34"/>
    <w:rsid w:val="00E54406"/>
    <w:rsid w:val="00E553F7"/>
    <w:rsid w:val="00E56654"/>
    <w:rsid w:val="00E61004"/>
    <w:rsid w:val="00E61FBA"/>
    <w:rsid w:val="00E62945"/>
    <w:rsid w:val="00E6633C"/>
    <w:rsid w:val="00E6655D"/>
    <w:rsid w:val="00E67369"/>
    <w:rsid w:val="00E673DD"/>
    <w:rsid w:val="00E70566"/>
    <w:rsid w:val="00E715E4"/>
    <w:rsid w:val="00E7428E"/>
    <w:rsid w:val="00E74766"/>
    <w:rsid w:val="00E7546B"/>
    <w:rsid w:val="00E75DC2"/>
    <w:rsid w:val="00E8232D"/>
    <w:rsid w:val="00E83D33"/>
    <w:rsid w:val="00E84898"/>
    <w:rsid w:val="00E976D3"/>
    <w:rsid w:val="00EA1345"/>
    <w:rsid w:val="00EA348B"/>
    <w:rsid w:val="00EA35B2"/>
    <w:rsid w:val="00EA44EB"/>
    <w:rsid w:val="00EA5053"/>
    <w:rsid w:val="00EA57DA"/>
    <w:rsid w:val="00EA67D7"/>
    <w:rsid w:val="00EA7D25"/>
    <w:rsid w:val="00EB143C"/>
    <w:rsid w:val="00EB202E"/>
    <w:rsid w:val="00EB26C4"/>
    <w:rsid w:val="00EB34AF"/>
    <w:rsid w:val="00EB617C"/>
    <w:rsid w:val="00EB778B"/>
    <w:rsid w:val="00EC181D"/>
    <w:rsid w:val="00EC3AC7"/>
    <w:rsid w:val="00EC5376"/>
    <w:rsid w:val="00EC6A53"/>
    <w:rsid w:val="00ED1653"/>
    <w:rsid w:val="00ED1900"/>
    <w:rsid w:val="00ED23DD"/>
    <w:rsid w:val="00ED528A"/>
    <w:rsid w:val="00ED52A3"/>
    <w:rsid w:val="00EE20AA"/>
    <w:rsid w:val="00EE20F2"/>
    <w:rsid w:val="00EE2E47"/>
    <w:rsid w:val="00EE3360"/>
    <w:rsid w:val="00EE4984"/>
    <w:rsid w:val="00EF16EC"/>
    <w:rsid w:val="00EF2DB6"/>
    <w:rsid w:val="00EF6DA5"/>
    <w:rsid w:val="00EF7B69"/>
    <w:rsid w:val="00EF7E99"/>
    <w:rsid w:val="00EF7F91"/>
    <w:rsid w:val="00F0158B"/>
    <w:rsid w:val="00F021B1"/>
    <w:rsid w:val="00F067DE"/>
    <w:rsid w:val="00F11C66"/>
    <w:rsid w:val="00F13AB5"/>
    <w:rsid w:val="00F16EEA"/>
    <w:rsid w:val="00F217F0"/>
    <w:rsid w:val="00F2480C"/>
    <w:rsid w:val="00F25A97"/>
    <w:rsid w:val="00F26CCD"/>
    <w:rsid w:val="00F27555"/>
    <w:rsid w:val="00F307FE"/>
    <w:rsid w:val="00F31577"/>
    <w:rsid w:val="00F316AF"/>
    <w:rsid w:val="00F40219"/>
    <w:rsid w:val="00F40B7A"/>
    <w:rsid w:val="00F40F6E"/>
    <w:rsid w:val="00F42BB0"/>
    <w:rsid w:val="00F5017F"/>
    <w:rsid w:val="00F50C6F"/>
    <w:rsid w:val="00F51584"/>
    <w:rsid w:val="00F51CED"/>
    <w:rsid w:val="00F524C9"/>
    <w:rsid w:val="00F52A01"/>
    <w:rsid w:val="00F5334D"/>
    <w:rsid w:val="00F570BF"/>
    <w:rsid w:val="00F60AD5"/>
    <w:rsid w:val="00F623A4"/>
    <w:rsid w:val="00F63CA4"/>
    <w:rsid w:val="00F64F07"/>
    <w:rsid w:val="00F67DBA"/>
    <w:rsid w:val="00F73415"/>
    <w:rsid w:val="00F73872"/>
    <w:rsid w:val="00F7490F"/>
    <w:rsid w:val="00F74B6F"/>
    <w:rsid w:val="00F849DB"/>
    <w:rsid w:val="00F85937"/>
    <w:rsid w:val="00F866ED"/>
    <w:rsid w:val="00F9480E"/>
    <w:rsid w:val="00F958D3"/>
    <w:rsid w:val="00F961F9"/>
    <w:rsid w:val="00F969BF"/>
    <w:rsid w:val="00F96B0E"/>
    <w:rsid w:val="00F96C9F"/>
    <w:rsid w:val="00FA10F2"/>
    <w:rsid w:val="00FA6042"/>
    <w:rsid w:val="00FA7FA7"/>
    <w:rsid w:val="00FB12F8"/>
    <w:rsid w:val="00FB53A0"/>
    <w:rsid w:val="00FB5A28"/>
    <w:rsid w:val="00FB7116"/>
    <w:rsid w:val="00FC1741"/>
    <w:rsid w:val="00FC6973"/>
    <w:rsid w:val="00FD0E81"/>
    <w:rsid w:val="00FD5EF4"/>
    <w:rsid w:val="00FE0981"/>
    <w:rsid w:val="00FE1F82"/>
    <w:rsid w:val="00FE3D20"/>
    <w:rsid w:val="00FE58EF"/>
    <w:rsid w:val="00FE7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7768F"/>
  <w15:chartTrackingRefBased/>
  <w15:docId w15:val="{C4A8632E-1727-4BCB-9177-572F4A5F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316"/>
  </w:style>
  <w:style w:type="paragraph" w:styleId="Heading2">
    <w:name w:val="heading 2"/>
    <w:basedOn w:val="Normal"/>
    <w:next w:val="Normal"/>
    <w:link w:val="Heading2Char"/>
    <w:uiPriority w:val="9"/>
    <w:semiHidden/>
    <w:unhideWhenUsed/>
    <w:qFormat/>
    <w:rsid w:val="00EB14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4316"/>
    <w:pP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character" w:styleId="Strong">
    <w:name w:val="Strong"/>
    <w:basedOn w:val="DefaultParagraphFont"/>
    <w:uiPriority w:val="22"/>
    <w:qFormat/>
    <w:rsid w:val="00634316"/>
    <w:rPr>
      <w:b/>
      <w:bCs/>
    </w:rPr>
  </w:style>
  <w:style w:type="character" w:styleId="Hyperlink">
    <w:name w:val="Hyperlink"/>
    <w:basedOn w:val="DefaultParagraphFont"/>
    <w:uiPriority w:val="99"/>
    <w:unhideWhenUsed/>
    <w:rsid w:val="000A63F3"/>
    <w:rPr>
      <w:color w:val="0563C1" w:themeColor="hyperlink"/>
      <w:u w:val="single"/>
    </w:rPr>
  </w:style>
  <w:style w:type="table" w:styleId="TableGrid">
    <w:name w:val="Table Grid"/>
    <w:basedOn w:val="TableNormal"/>
    <w:uiPriority w:val="59"/>
    <w:rsid w:val="00F5334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7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7192"/>
  </w:style>
  <w:style w:type="paragraph" w:styleId="Footer">
    <w:name w:val="footer"/>
    <w:basedOn w:val="Normal"/>
    <w:link w:val="FooterChar"/>
    <w:uiPriority w:val="99"/>
    <w:unhideWhenUsed/>
    <w:rsid w:val="00D07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7192"/>
  </w:style>
  <w:style w:type="paragraph" w:styleId="FootnoteText">
    <w:name w:val="footnote text"/>
    <w:basedOn w:val="Normal"/>
    <w:link w:val="FootnoteTextChar"/>
    <w:semiHidden/>
    <w:rsid w:val="00BD2949"/>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BD2949"/>
    <w:rPr>
      <w:rFonts w:ascii="Times New Roman" w:eastAsia="Times New Roman" w:hAnsi="Times New Roman" w:cs="Times New Roman"/>
      <w:sz w:val="20"/>
      <w:szCs w:val="20"/>
      <w:lang w:val="en-GB" w:eastAsia="en-GB"/>
    </w:rPr>
  </w:style>
  <w:style w:type="character" w:styleId="FootnoteReference">
    <w:name w:val="footnote reference"/>
    <w:semiHidden/>
    <w:rsid w:val="00BD2949"/>
    <w:rPr>
      <w:rFonts w:cs="Times New Roman"/>
      <w:vertAlign w:val="superscript"/>
    </w:rPr>
  </w:style>
  <w:style w:type="character" w:styleId="CommentReference">
    <w:name w:val="annotation reference"/>
    <w:basedOn w:val="DefaultParagraphFont"/>
    <w:uiPriority w:val="99"/>
    <w:semiHidden/>
    <w:unhideWhenUsed/>
    <w:rsid w:val="00B30CBB"/>
    <w:rPr>
      <w:sz w:val="16"/>
      <w:szCs w:val="16"/>
    </w:rPr>
  </w:style>
  <w:style w:type="paragraph" w:styleId="CommentText">
    <w:name w:val="annotation text"/>
    <w:basedOn w:val="Normal"/>
    <w:link w:val="CommentTextChar"/>
    <w:uiPriority w:val="99"/>
    <w:semiHidden/>
    <w:unhideWhenUsed/>
    <w:rsid w:val="00B30CBB"/>
    <w:pPr>
      <w:spacing w:line="240" w:lineRule="auto"/>
    </w:pPr>
    <w:rPr>
      <w:sz w:val="20"/>
      <w:szCs w:val="20"/>
    </w:rPr>
  </w:style>
  <w:style w:type="character" w:customStyle="1" w:styleId="CommentTextChar">
    <w:name w:val="Comment Text Char"/>
    <w:basedOn w:val="DefaultParagraphFont"/>
    <w:link w:val="CommentText"/>
    <w:uiPriority w:val="99"/>
    <w:semiHidden/>
    <w:rsid w:val="00B30CBB"/>
    <w:rPr>
      <w:sz w:val="20"/>
      <w:szCs w:val="20"/>
    </w:rPr>
  </w:style>
  <w:style w:type="paragraph" w:styleId="CommentSubject">
    <w:name w:val="annotation subject"/>
    <w:basedOn w:val="CommentText"/>
    <w:next w:val="CommentText"/>
    <w:link w:val="CommentSubjectChar"/>
    <w:uiPriority w:val="99"/>
    <w:semiHidden/>
    <w:unhideWhenUsed/>
    <w:rsid w:val="00B30CBB"/>
    <w:rPr>
      <w:b/>
      <w:bCs/>
    </w:rPr>
  </w:style>
  <w:style w:type="character" w:customStyle="1" w:styleId="CommentSubjectChar">
    <w:name w:val="Comment Subject Char"/>
    <w:basedOn w:val="CommentTextChar"/>
    <w:link w:val="CommentSubject"/>
    <w:uiPriority w:val="99"/>
    <w:semiHidden/>
    <w:rsid w:val="00B30CBB"/>
    <w:rPr>
      <w:b/>
      <w:bCs/>
      <w:sz w:val="20"/>
      <w:szCs w:val="20"/>
    </w:rPr>
  </w:style>
  <w:style w:type="paragraph" w:styleId="BalloonText">
    <w:name w:val="Balloon Text"/>
    <w:basedOn w:val="Normal"/>
    <w:link w:val="BalloonTextChar"/>
    <w:uiPriority w:val="99"/>
    <w:semiHidden/>
    <w:unhideWhenUsed/>
    <w:rsid w:val="00B30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CBB"/>
    <w:rPr>
      <w:rFonts w:ascii="Segoe UI" w:hAnsi="Segoe UI" w:cs="Segoe UI"/>
      <w:sz w:val="18"/>
      <w:szCs w:val="18"/>
    </w:rPr>
  </w:style>
  <w:style w:type="character" w:styleId="Emphasis">
    <w:name w:val="Emphasis"/>
    <w:basedOn w:val="DefaultParagraphFont"/>
    <w:uiPriority w:val="20"/>
    <w:qFormat/>
    <w:rsid w:val="00B30CBB"/>
    <w:rPr>
      <w:i/>
      <w:iCs/>
    </w:rPr>
  </w:style>
  <w:style w:type="paragraph" w:customStyle="1" w:styleId="patterns">
    <w:name w:val="patterns"/>
    <w:basedOn w:val="Normal"/>
    <w:semiHidden/>
    <w:rsid w:val="00AE2BF4"/>
    <w:pPr>
      <w:spacing w:before="120" w:line="240" w:lineRule="auto"/>
      <w:jc w:val="both"/>
    </w:pPr>
    <w:rPr>
      <w:rFonts w:ascii="Times New Roman" w:eastAsia="Times New Roman" w:hAnsi="Times New Roman" w:cs="Times New Roman"/>
      <w:sz w:val="20"/>
      <w:szCs w:val="20"/>
    </w:rPr>
  </w:style>
  <w:style w:type="paragraph" w:styleId="ListParagraph">
    <w:name w:val="List Paragraph"/>
    <w:basedOn w:val="Normal"/>
    <w:uiPriority w:val="34"/>
    <w:qFormat/>
    <w:rsid w:val="00243FE1"/>
    <w:pPr>
      <w:ind w:left="720"/>
      <w:contextualSpacing/>
    </w:pPr>
  </w:style>
  <w:style w:type="character" w:customStyle="1" w:styleId="sr-only">
    <w:name w:val="sr-only"/>
    <w:basedOn w:val="DefaultParagraphFont"/>
    <w:rsid w:val="007C42EE"/>
  </w:style>
  <w:style w:type="character" w:customStyle="1" w:styleId="Heading2Char">
    <w:name w:val="Heading 2 Char"/>
    <w:basedOn w:val="DefaultParagraphFont"/>
    <w:link w:val="Heading2"/>
    <w:uiPriority w:val="9"/>
    <w:semiHidden/>
    <w:rsid w:val="00EB143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10364">
      <w:bodyDiv w:val="1"/>
      <w:marLeft w:val="0"/>
      <w:marRight w:val="0"/>
      <w:marTop w:val="0"/>
      <w:marBottom w:val="0"/>
      <w:divBdr>
        <w:top w:val="none" w:sz="0" w:space="0" w:color="auto"/>
        <w:left w:val="none" w:sz="0" w:space="0" w:color="auto"/>
        <w:bottom w:val="none" w:sz="0" w:space="0" w:color="auto"/>
        <w:right w:val="none" w:sz="0" w:space="0" w:color="auto"/>
      </w:divBdr>
    </w:div>
    <w:div w:id="107970537">
      <w:bodyDiv w:val="1"/>
      <w:marLeft w:val="0"/>
      <w:marRight w:val="0"/>
      <w:marTop w:val="0"/>
      <w:marBottom w:val="0"/>
      <w:divBdr>
        <w:top w:val="none" w:sz="0" w:space="0" w:color="auto"/>
        <w:left w:val="none" w:sz="0" w:space="0" w:color="auto"/>
        <w:bottom w:val="none" w:sz="0" w:space="0" w:color="auto"/>
        <w:right w:val="none" w:sz="0" w:space="0" w:color="auto"/>
      </w:divBdr>
    </w:div>
    <w:div w:id="122506043">
      <w:bodyDiv w:val="1"/>
      <w:marLeft w:val="0"/>
      <w:marRight w:val="0"/>
      <w:marTop w:val="0"/>
      <w:marBottom w:val="0"/>
      <w:divBdr>
        <w:top w:val="none" w:sz="0" w:space="0" w:color="auto"/>
        <w:left w:val="none" w:sz="0" w:space="0" w:color="auto"/>
        <w:bottom w:val="none" w:sz="0" w:space="0" w:color="auto"/>
        <w:right w:val="none" w:sz="0" w:space="0" w:color="auto"/>
      </w:divBdr>
    </w:div>
    <w:div w:id="137917551">
      <w:bodyDiv w:val="1"/>
      <w:marLeft w:val="0"/>
      <w:marRight w:val="0"/>
      <w:marTop w:val="0"/>
      <w:marBottom w:val="0"/>
      <w:divBdr>
        <w:top w:val="none" w:sz="0" w:space="0" w:color="auto"/>
        <w:left w:val="none" w:sz="0" w:space="0" w:color="auto"/>
        <w:bottom w:val="none" w:sz="0" w:space="0" w:color="auto"/>
        <w:right w:val="none" w:sz="0" w:space="0" w:color="auto"/>
      </w:divBdr>
    </w:div>
    <w:div w:id="168258348">
      <w:bodyDiv w:val="1"/>
      <w:marLeft w:val="0"/>
      <w:marRight w:val="0"/>
      <w:marTop w:val="0"/>
      <w:marBottom w:val="0"/>
      <w:divBdr>
        <w:top w:val="none" w:sz="0" w:space="0" w:color="auto"/>
        <w:left w:val="none" w:sz="0" w:space="0" w:color="auto"/>
        <w:bottom w:val="none" w:sz="0" w:space="0" w:color="auto"/>
        <w:right w:val="none" w:sz="0" w:space="0" w:color="auto"/>
      </w:divBdr>
    </w:div>
    <w:div w:id="169219714">
      <w:bodyDiv w:val="1"/>
      <w:marLeft w:val="0"/>
      <w:marRight w:val="0"/>
      <w:marTop w:val="0"/>
      <w:marBottom w:val="0"/>
      <w:divBdr>
        <w:top w:val="none" w:sz="0" w:space="0" w:color="auto"/>
        <w:left w:val="none" w:sz="0" w:space="0" w:color="auto"/>
        <w:bottom w:val="none" w:sz="0" w:space="0" w:color="auto"/>
        <w:right w:val="none" w:sz="0" w:space="0" w:color="auto"/>
      </w:divBdr>
      <w:divsChild>
        <w:div w:id="1738169621">
          <w:marLeft w:val="0"/>
          <w:marRight w:val="0"/>
          <w:marTop w:val="0"/>
          <w:marBottom w:val="0"/>
          <w:divBdr>
            <w:top w:val="none" w:sz="0" w:space="0" w:color="auto"/>
            <w:left w:val="none" w:sz="0" w:space="0" w:color="auto"/>
            <w:bottom w:val="none" w:sz="0" w:space="0" w:color="auto"/>
            <w:right w:val="none" w:sz="0" w:space="0" w:color="auto"/>
          </w:divBdr>
          <w:divsChild>
            <w:div w:id="1205604332">
              <w:marLeft w:val="0"/>
              <w:marRight w:val="0"/>
              <w:marTop w:val="0"/>
              <w:marBottom w:val="0"/>
              <w:divBdr>
                <w:top w:val="none" w:sz="0" w:space="0" w:color="auto"/>
                <w:left w:val="none" w:sz="0" w:space="0" w:color="auto"/>
                <w:bottom w:val="none" w:sz="0" w:space="0" w:color="auto"/>
                <w:right w:val="none" w:sz="0" w:space="0" w:color="auto"/>
              </w:divBdr>
              <w:divsChild>
                <w:div w:id="821198786">
                  <w:marLeft w:val="0"/>
                  <w:marRight w:val="0"/>
                  <w:marTop w:val="0"/>
                  <w:marBottom w:val="0"/>
                  <w:divBdr>
                    <w:top w:val="none" w:sz="0" w:space="0" w:color="auto"/>
                    <w:left w:val="none" w:sz="0" w:space="0" w:color="auto"/>
                    <w:bottom w:val="none" w:sz="0" w:space="0" w:color="auto"/>
                    <w:right w:val="none" w:sz="0" w:space="0" w:color="auto"/>
                  </w:divBdr>
                  <w:divsChild>
                    <w:div w:id="2007198105">
                      <w:marLeft w:val="0"/>
                      <w:marRight w:val="0"/>
                      <w:marTop w:val="0"/>
                      <w:marBottom w:val="0"/>
                      <w:divBdr>
                        <w:top w:val="none" w:sz="0" w:space="0" w:color="auto"/>
                        <w:left w:val="none" w:sz="0" w:space="0" w:color="auto"/>
                        <w:bottom w:val="none" w:sz="0" w:space="0" w:color="auto"/>
                        <w:right w:val="none" w:sz="0" w:space="0" w:color="auto"/>
                      </w:divBdr>
                      <w:divsChild>
                        <w:div w:id="53436683">
                          <w:marLeft w:val="0"/>
                          <w:marRight w:val="0"/>
                          <w:marTop w:val="0"/>
                          <w:marBottom w:val="0"/>
                          <w:divBdr>
                            <w:top w:val="none" w:sz="0" w:space="0" w:color="auto"/>
                            <w:left w:val="none" w:sz="0" w:space="0" w:color="auto"/>
                            <w:bottom w:val="none" w:sz="0" w:space="0" w:color="auto"/>
                            <w:right w:val="none" w:sz="0" w:space="0" w:color="auto"/>
                          </w:divBdr>
                          <w:divsChild>
                            <w:div w:id="190186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3487">
                  <w:marLeft w:val="0"/>
                  <w:marRight w:val="0"/>
                  <w:marTop w:val="0"/>
                  <w:marBottom w:val="0"/>
                  <w:divBdr>
                    <w:top w:val="none" w:sz="0" w:space="0" w:color="auto"/>
                    <w:left w:val="none" w:sz="0" w:space="0" w:color="auto"/>
                    <w:bottom w:val="none" w:sz="0" w:space="0" w:color="auto"/>
                    <w:right w:val="none" w:sz="0" w:space="0" w:color="auto"/>
                  </w:divBdr>
                  <w:divsChild>
                    <w:div w:id="152705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5367">
      <w:bodyDiv w:val="1"/>
      <w:marLeft w:val="0"/>
      <w:marRight w:val="0"/>
      <w:marTop w:val="0"/>
      <w:marBottom w:val="0"/>
      <w:divBdr>
        <w:top w:val="none" w:sz="0" w:space="0" w:color="auto"/>
        <w:left w:val="none" w:sz="0" w:space="0" w:color="auto"/>
        <w:bottom w:val="none" w:sz="0" w:space="0" w:color="auto"/>
        <w:right w:val="none" w:sz="0" w:space="0" w:color="auto"/>
      </w:divBdr>
    </w:div>
    <w:div w:id="255989993">
      <w:bodyDiv w:val="1"/>
      <w:marLeft w:val="0"/>
      <w:marRight w:val="0"/>
      <w:marTop w:val="0"/>
      <w:marBottom w:val="0"/>
      <w:divBdr>
        <w:top w:val="none" w:sz="0" w:space="0" w:color="auto"/>
        <w:left w:val="none" w:sz="0" w:space="0" w:color="auto"/>
        <w:bottom w:val="none" w:sz="0" w:space="0" w:color="auto"/>
        <w:right w:val="none" w:sz="0" w:space="0" w:color="auto"/>
      </w:divBdr>
      <w:divsChild>
        <w:div w:id="273445446">
          <w:marLeft w:val="0"/>
          <w:marRight w:val="0"/>
          <w:marTop w:val="0"/>
          <w:marBottom w:val="0"/>
          <w:divBdr>
            <w:top w:val="none" w:sz="0" w:space="0" w:color="auto"/>
            <w:left w:val="none" w:sz="0" w:space="0" w:color="auto"/>
            <w:bottom w:val="none" w:sz="0" w:space="0" w:color="auto"/>
            <w:right w:val="none" w:sz="0" w:space="0" w:color="auto"/>
          </w:divBdr>
          <w:divsChild>
            <w:div w:id="1993219531">
              <w:marLeft w:val="0"/>
              <w:marRight w:val="0"/>
              <w:marTop w:val="0"/>
              <w:marBottom w:val="0"/>
              <w:divBdr>
                <w:top w:val="none" w:sz="0" w:space="0" w:color="auto"/>
                <w:left w:val="none" w:sz="0" w:space="0" w:color="auto"/>
                <w:bottom w:val="none" w:sz="0" w:space="0" w:color="auto"/>
                <w:right w:val="none" w:sz="0" w:space="0" w:color="auto"/>
              </w:divBdr>
              <w:divsChild>
                <w:div w:id="127478777">
                  <w:marLeft w:val="0"/>
                  <w:marRight w:val="0"/>
                  <w:marTop w:val="0"/>
                  <w:marBottom w:val="0"/>
                  <w:divBdr>
                    <w:top w:val="none" w:sz="0" w:space="0" w:color="auto"/>
                    <w:left w:val="none" w:sz="0" w:space="0" w:color="auto"/>
                    <w:bottom w:val="none" w:sz="0" w:space="0" w:color="auto"/>
                    <w:right w:val="none" w:sz="0" w:space="0" w:color="auto"/>
                  </w:divBdr>
                  <w:divsChild>
                    <w:div w:id="18617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174906">
      <w:bodyDiv w:val="1"/>
      <w:marLeft w:val="0"/>
      <w:marRight w:val="0"/>
      <w:marTop w:val="0"/>
      <w:marBottom w:val="0"/>
      <w:divBdr>
        <w:top w:val="none" w:sz="0" w:space="0" w:color="auto"/>
        <w:left w:val="none" w:sz="0" w:space="0" w:color="auto"/>
        <w:bottom w:val="none" w:sz="0" w:space="0" w:color="auto"/>
        <w:right w:val="none" w:sz="0" w:space="0" w:color="auto"/>
      </w:divBdr>
    </w:div>
    <w:div w:id="418603552">
      <w:bodyDiv w:val="1"/>
      <w:marLeft w:val="0"/>
      <w:marRight w:val="0"/>
      <w:marTop w:val="0"/>
      <w:marBottom w:val="0"/>
      <w:divBdr>
        <w:top w:val="none" w:sz="0" w:space="0" w:color="auto"/>
        <w:left w:val="none" w:sz="0" w:space="0" w:color="auto"/>
        <w:bottom w:val="none" w:sz="0" w:space="0" w:color="auto"/>
        <w:right w:val="none" w:sz="0" w:space="0" w:color="auto"/>
      </w:divBdr>
    </w:div>
    <w:div w:id="468791534">
      <w:bodyDiv w:val="1"/>
      <w:marLeft w:val="0"/>
      <w:marRight w:val="0"/>
      <w:marTop w:val="0"/>
      <w:marBottom w:val="0"/>
      <w:divBdr>
        <w:top w:val="none" w:sz="0" w:space="0" w:color="auto"/>
        <w:left w:val="none" w:sz="0" w:space="0" w:color="auto"/>
        <w:bottom w:val="none" w:sz="0" w:space="0" w:color="auto"/>
        <w:right w:val="none" w:sz="0" w:space="0" w:color="auto"/>
      </w:divBdr>
    </w:div>
    <w:div w:id="535317589">
      <w:bodyDiv w:val="1"/>
      <w:marLeft w:val="0"/>
      <w:marRight w:val="0"/>
      <w:marTop w:val="0"/>
      <w:marBottom w:val="0"/>
      <w:divBdr>
        <w:top w:val="none" w:sz="0" w:space="0" w:color="auto"/>
        <w:left w:val="none" w:sz="0" w:space="0" w:color="auto"/>
        <w:bottom w:val="none" w:sz="0" w:space="0" w:color="auto"/>
        <w:right w:val="none" w:sz="0" w:space="0" w:color="auto"/>
      </w:divBdr>
    </w:div>
    <w:div w:id="721945169">
      <w:bodyDiv w:val="1"/>
      <w:marLeft w:val="0"/>
      <w:marRight w:val="0"/>
      <w:marTop w:val="0"/>
      <w:marBottom w:val="0"/>
      <w:divBdr>
        <w:top w:val="none" w:sz="0" w:space="0" w:color="auto"/>
        <w:left w:val="none" w:sz="0" w:space="0" w:color="auto"/>
        <w:bottom w:val="none" w:sz="0" w:space="0" w:color="auto"/>
        <w:right w:val="none" w:sz="0" w:space="0" w:color="auto"/>
      </w:divBdr>
      <w:divsChild>
        <w:div w:id="1057120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2262602">
      <w:bodyDiv w:val="1"/>
      <w:marLeft w:val="0"/>
      <w:marRight w:val="0"/>
      <w:marTop w:val="0"/>
      <w:marBottom w:val="0"/>
      <w:divBdr>
        <w:top w:val="none" w:sz="0" w:space="0" w:color="auto"/>
        <w:left w:val="none" w:sz="0" w:space="0" w:color="auto"/>
        <w:bottom w:val="none" w:sz="0" w:space="0" w:color="auto"/>
        <w:right w:val="none" w:sz="0" w:space="0" w:color="auto"/>
      </w:divBdr>
    </w:div>
    <w:div w:id="783379737">
      <w:bodyDiv w:val="1"/>
      <w:marLeft w:val="0"/>
      <w:marRight w:val="0"/>
      <w:marTop w:val="0"/>
      <w:marBottom w:val="0"/>
      <w:divBdr>
        <w:top w:val="none" w:sz="0" w:space="0" w:color="auto"/>
        <w:left w:val="none" w:sz="0" w:space="0" w:color="auto"/>
        <w:bottom w:val="none" w:sz="0" w:space="0" w:color="auto"/>
        <w:right w:val="none" w:sz="0" w:space="0" w:color="auto"/>
      </w:divBdr>
    </w:div>
    <w:div w:id="783841595">
      <w:bodyDiv w:val="1"/>
      <w:marLeft w:val="0"/>
      <w:marRight w:val="0"/>
      <w:marTop w:val="0"/>
      <w:marBottom w:val="0"/>
      <w:divBdr>
        <w:top w:val="none" w:sz="0" w:space="0" w:color="auto"/>
        <w:left w:val="none" w:sz="0" w:space="0" w:color="auto"/>
        <w:bottom w:val="none" w:sz="0" w:space="0" w:color="auto"/>
        <w:right w:val="none" w:sz="0" w:space="0" w:color="auto"/>
      </w:divBdr>
    </w:div>
    <w:div w:id="1032418452">
      <w:bodyDiv w:val="1"/>
      <w:marLeft w:val="0"/>
      <w:marRight w:val="0"/>
      <w:marTop w:val="0"/>
      <w:marBottom w:val="0"/>
      <w:divBdr>
        <w:top w:val="none" w:sz="0" w:space="0" w:color="auto"/>
        <w:left w:val="none" w:sz="0" w:space="0" w:color="auto"/>
        <w:bottom w:val="none" w:sz="0" w:space="0" w:color="auto"/>
        <w:right w:val="none" w:sz="0" w:space="0" w:color="auto"/>
      </w:divBdr>
    </w:div>
    <w:div w:id="1056314277">
      <w:bodyDiv w:val="1"/>
      <w:marLeft w:val="0"/>
      <w:marRight w:val="0"/>
      <w:marTop w:val="0"/>
      <w:marBottom w:val="0"/>
      <w:divBdr>
        <w:top w:val="none" w:sz="0" w:space="0" w:color="auto"/>
        <w:left w:val="none" w:sz="0" w:space="0" w:color="auto"/>
        <w:bottom w:val="none" w:sz="0" w:space="0" w:color="auto"/>
        <w:right w:val="none" w:sz="0" w:space="0" w:color="auto"/>
      </w:divBdr>
    </w:div>
    <w:div w:id="1071200207">
      <w:bodyDiv w:val="1"/>
      <w:marLeft w:val="0"/>
      <w:marRight w:val="0"/>
      <w:marTop w:val="0"/>
      <w:marBottom w:val="0"/>
      <w:divBdr>
        <w:top w:val="none" w:sz="0" w:space="0" w:color="auto"/>
        <w:left w:val="none" w:sz="0" w:space="0" w:color="auto"/>
        <w:bottom w:val="none" w:sz="0" w:space="0" w:color="auto"/>
        <w:right w:val="none" w:sz="0" w:space="0" w:color="auto"/>
      </w:divBdr>
      <w:divsChild>
        <w:div w:id="419448378">
          <w:marLeft w:val="0"/>
          <w:marRight w:val="0"/>
          <w:marTop w:val="0"/>
          <w:marBottom w:val="0"/>
          <w:divBdr>
            <w:top w:val="none" w:sz="0" w:space="0" w:color="auto"/>
            <w:left w:val="none" w:sz="0" w:space="0" w:color="auto"/>
            <w:bottom w:val="none" w:sz="0" w:space="0" w:color="auto"/>
            <w:right w:val="none" w:sz="0" w:space="0" w:color="auto"/>
          </w:divBdr>
          <w:divsChild>
            <w:div w:id="658578017">
              <w:marLeft w:val="0"/>
              <w:marRight w:val="0"/>
              <w:marTop w:val="0"/>
              <w:marBottom w:val="0"/>
              <w:divBdr>
                <w:top w:val="none" w:sz="0" w:space="0" w:color="auto"/>
                <w:left w:val="none" w:sz="0" w:space="0" w:color="auto"/>
                <w:bottom w:val="none" w:sz="0" w:space="0" w:color="auto"/>
                <w:right w:val="none" w:sz="0" w:space="0" w:color="auto"/>
              </w:divBdr>
              <w:divsChild>
                <w:div w:id="677729451">
                  <w:marLeft w:val="0"/>
                  <w:marRight w:val="0"/>
                  <w:marTop w:val="0"/>
                  <w:marBottom w:val="0"/>
                  <w:divBdr>
                    <w:top w:val="none" w:sz="0" w:space="0" w:color="auto"/>
                    <w:left w:val="none" w:sz="0" w:space="0" w:color="auto"/>
                    <w:bottom w:val="none" w:sz="0" w:space="0" w:color="auto"/>
                    <w:right w:val="none" w:sz="0" w:space="0" w:color="auto"/>
                  </w:divBdr>
                  <w:divsChild>
                    <w:div w:id="1290163994">
                      <w:marLeft w:val="0"/>
                      <w:marRight w:val="0"/>
                      <w:marTop w:val="0"/>
                      <w:marBottom w:val="0"/>
                      <w:divBdr>
                        <w:top w:val="none" w:sz="0" w:space="0" w:color="auto"/>
                        <w:left w:val="none" w:sz="0" w:space="0" w:color="auto"/>
                        <w:bottom w:val="none" w:sz="0" w:space="0" w:color="auto"/>
                        <w:right w:val="none" w:sz="0" w:space="0" w:color="auto"/>
                      </w:divBdr>
                      <w:divsChild>
                        <w:div w:id="280384530">
                          <w:marLeft w:val="0"/>
                          <w:marRight w:val="0"/>
                          <w:marTop w:val="0"/>
                          <w:marBottom w:val="0"/>
                          <w:divBdr>
                            <w:top w:val="none" w:sz="0" w:space="0" w:color="auto"/>
                            <w:left w:val="none" w:sz="0" w:space="0" w:color="auto"/>
                            <w:bottom w:val="none" w:sz="0" w:space="0" w:color="auto"/>
                            <w:right w:val="none" w:sz="0" w:space="0" w:color="auto"/>
                          </w:divBdr>
                          <w:divsChild>
                            <w:div w:id="12439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069085">
                  <w:marLeft w:val="0"/>
                  <w:marRight w:val="0"/>
                  <w:marTop w:val="0"/>
                  <w:marBottom w:val="0"/>
                  <w:divBdr>
                    <w:top w:val="none" w:sz="0" w:space="0" w:color="auto"/>
                    <w:left w:val="none" w:sz="0" w:space="0" w:color="auto"/>
                    <w:bottom w:val="none" w:sz="0" w:space="0" w:color="auto"/>
                    <w:right w:val="none" w:sz="0" w:space="0" w:color="auto"/>
                  </w:divBdr>
                  <w:divsChild>
                    <w:div w:id="111116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636224">
      <w:bodyDiv w:val="1"/>
      <w:marLeft w:val="0"/>
      <w:marRight w:val="0"/>
      <w:marTop w:val="0"/>
      <w:marBottom w:val="0"/>
      <w:divBdr>
        <w:top w:val="none" w:sz="0" w:space="0" w:color="auto"/>
        <w:left w:val="none" w:sz="0" w:space="0" w:color="auto"/>
        <w:bottom w:val="none" w:sz="0" w:space="0" w:color="auto"/>
        <w:right w:val="none" w:sz="0" w:space="0" w:color="auto"/>
      </w:divBdr>
    </w:div>
    <w:div w:id="1096483733">
      <w:bodyDiv w:val="1"/>
      <w:marLeft w:val="0"/>
      <w:marRight w:val="0"/>
      <w:marTop w:val="0"/>
      <w:marBottom w:val="0"/>
      <w:divBdr>
        <w:top w:val="none" w:sz="0" w:space="0" w:color="auto"/>
        <w:left w:val="none" w:sz="0" w:space="0" w:color="auto"/>
        <w:bottom w:val="none" w:sz="0" w:space="0" w:color="auto"/>
        <w:right w:val="none" w:sz="0" w:space="0" w:color="auto"/>
      </w:divBdr>
    </w:div>
    <w:div w:id="1125999422">
      <w:bodyDiv w:val="1"/>
      <w:marLeft w:val="0"/>
      <w:marRight w:val="0"/>
      <w:marTop w:val="0"/>
      <w:marBottom w:val="0"/>
      <w:divBdr>
        <w:top w:val="none" w:sz="0" w:space="0" w:color="auto"/>
        <w:left w:val="none" w:sz="0" w:space="0" w:color="auto"/>
        <w:bottom w:val="none" w:sz="0" w:space="0" w:color="auto"/>
        <w:right w:val="none" w:sz="0" w:space="0" w:color="auto"/>
      </w:divBdr>
    </w:div>
    <w:div w:id="1143692120">
      <w:bodyDiv w:val="1"/>
      <w:marLeft w:val="0"/>
      <w:marRight w:val="0"/>
      <w:marTop w:val="0"/>
      <w:marBottom w:val="0"/>
      <w:divBdr>
        <w:top w:val="none" w:sz="0" w:space="0" w:color="auto"/>
        <w:left w:val="none" w:sz="0" w:space="0" w:color="auto"/>
        <w:bottom w:val="none" w:sz="0" w:space="0" w:color="auto"/>
        <w:right w:val="none" w:sz="0" w:space="0" w:color="auto"/>
      </w:divBdr>
    </w:div>
    <w:div w:id="1214853641">
      <w:bodyDiv w:val="1"/>
      <w:marLeft w:val="0"/>
      <w:marRight w:val="0"/>
      <w:marTop w:val="0"/>
      <w:marBottom w:val="0"/>
      <w:divBdr>
        <w:top w:val="none" w:sz="0" w:space="0" w:color="auto"/>
        <w:left w:val="none" w:sz="0" w:space="0" w:color="auto"/>
        <w:bottom w:val="none" w:sz="0" w:space="0" w:color="auto"/>
        <w:right w:val="none" w:sz="0" w:space="0" w:color="auto"/>
      </w:divBdr>
    </w:div>
    <w:div w:id="1226601702">
      <w:bodyDiv w:val="1"/>
      <w:marLeft w:val="0"/>
      <w:marRight w:val="0"/>
      <w:marTop w:val="0"/>
      <w:marBottom w:val="0"/>
      <w:divBdr>
        <w:top w:val="none" w:sz="0" w:space="0" w:color="auto"/>
        <w:left w:val="none" w:sz="0" w:space="0" w:color="auto"/>
        <w:bottom w:val="none" w:sz="0" w:space="0" w:color="auto"/>
        <w:right w:val="none" w:sz="0" w:space="0" w:color="auto"/>
      </w:divBdr>
      <w:divsChild>
        <w:div w:id="2109807710">
          <w:marLeft w:val="0"/>
          <w:marRight w:val="0"/>
          <w:marTop w:val="0"/>
          <w:marBottom w:val="0"/>
          <w:divBdr>
            <w:top w:val="none" w:sz="0" w:space="0" w:color="auto"/>
            <w:left w:val="none" w:sz="0" w:space="0" w:color="auto"/>
            <w:bottom w:val="none" w:sz="0" w:space="0" w:color="auto"/>
            <w:right w:val="none" w:sz="0" w:space="0" w:color="auto"/>
          </w:divBdr>
          <w:divsChild>
            <w:div w:id="596061854">
              <w:marLeft w:val="0"/>
              <w:marRight w:val="0"/>
              <w:marTop w:val="0"/>
              <w:marBottom w:val="0"/>
              <w:divBdr>
                <w:top w:val="none" w:sz="0" w:space="0" w:color="auto"/>
                <w:left w:val="none" w:sz="0" w:space="0" w:color="auto"/>
                <w:bottom w:val="none" w:sz="0" w:space="0" w:color="auto"/>
                <w:right w:val="none" w:sz="0" w:space="0" w:color="auto"/>
              </w:divBdr>
              <w:divsChild>
                <w:div w:id="798650714">
                  <w:marLeft w:val="0"/>
                  <w:marRight w:val="0"/>
                  <w:marTop w:val="0"/>
                  <w:marBottom w:val="0"/>
                  <w:divBdr>
                    <w:top w:val="none" w:sz="0" w:space="0" w:color="auto"/>
                    <w:left w:val="none" w:sz="0" w:space="0" w:color="auto"/>
                    <w:bottom w:val="none" w:sz="0" w:space="0" w:color="auto"/>
                    <w:right w:val="none" w:sz="0" w:space="0" w:color="auto"/>
                  </w:divBdr>
                  <w:divsChild>
                    <w:div w:id="112752733">
                      <w:marLeft w:val="0"/>
                      <w:marRight w:val="0"/>
                      <w:marTop w:val="0"/>
                      <w:marBottom w:val="0"/>
                      <w:divBdr>
                        <w:top w:val="none" w:sz="0" w:space="0" w:color="auto"/>
                        <w:left w:val="none" w:sz="0" w:space="0" w:color="auto"/>
                        <w:bottom w:val="none" w:sz="0" w:space="0" w:color="auto"/>
                        <w:right w:val="none" w:sz="0" w:space="0" w:color="auto"/>
                      </w:divBdr>
                      <w:divsChild>
                        <w:div w:id="1121680156">
                          <w:marLeft w:val="0"/>
                          <w:marRight w:val="0"/>
                          <w:marTop w:val="0"/>
                          <w:marBottom w:val="0"/>
                          <w:divBdr>
                            <w:top w:val="none" w:sz="0" w:space="0" w:color="auto"/>
                            <w:left w:val="none" w:sz="0" w:space="0" w:color="auto"/>
                            <w:bottom w:val="none" w:sz="0" w:space="0" w:color="auto"/>
                            <w:right w:val="none" w:sz="0" w:space="0" w:color="auto"/>
                          </w:divBdr>
                          <w:divsChild>
                            <w:div w:id="15945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300456">
                  <w:marLeft w:val="0"/>
                  <w:marRight w:val="0"/>
                  <w:marTop w:val="0"/>
                  <w:marBottom w:val="0"/>
                  <w:divBdr>
                    <w:top w:val="none" w:sz="0" w:space="0" w:color="auto"/>
                    <w:left w:val="none" w:sz="0" w:space="0" w:color="auto"/>
                    <w:bottom w:val="none" w:sz="0" w:space="0" w:color="auto"/>
                    <w:right w:val="none" w:sz="0" w:space="0" w:color="auto"/>
                  </w:divBdr>
                  <w:divsChild>
                    <w:div w:id="113425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78241">
      <w:bodyDiv w:val="1"/>
      <w:marLeft w:val="0"/>
      <w:marRight w:val="0"/>
      <w:marTop w:val="0"/>
      <w:marBottom w:val="0"/>
      <w:divBdr>
        <w:top w:val="none" w:sz="0" w:space="0" w:color="auto"/>
        <w:left w:val="none" w:sz="0" w:space="0" w:color="auto"/>
        <w:bottom w:val="none" w:sz="0" w:space="0" w:color="auto"/>
        <w:right w:val="none" w:sz="0" w:space="0" w:color="auto"/>
      </w:divBdr>
    </w:div>
    <w:div w:id="1264994778">
      <w:bodyDiv w:val="1"/>
      <w:marLeft w:val="0"/>
      <w:marRight w:val="0"/>
      <w:marTop w:val="0"/>
      <w:marBottom w:val="0"/>
      <w:divBdr>
        <w:top w:val="none" w:sz="0" w:space="0" w:color="auto"/>
        <w:left w:val="none" w:sz="0" w:space="0" w:color="auto"/>
        <w:bottom w:val="none" w:sz="0" w:space="0" w:color="auto"/>
        <w:right w:val="none" w:sz="0" w:space="0" w:color="auto"/>
      </w:divBdr>
    </w:div>
    <w:div w:id="1311786833">
      <w:bodyDiv w:val="1"/>
      <w:marLeft w:val="0"/>
      <w:marRight w:val="0"/>
      <w:marTop w:val="0"/>
      <w:marBottom w:val="0"/>
      <w:divBdr>
        <w:top w:val="none" w:sz="0" w:space="0" w:color="auto"/>
        <w:left w:val="none" w:sz="0" w:space="0" w:color="auto"/>
        <w:bottom w:val="none" w:sz="0" w:space="0" w:color="auto"/>
        <w:right w:val="none" w:sz="0" w:space="0" w:color="auto"/>
      </w:divBdr>
      <w:divsChild>
        <w:div w:id="764956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49913">
      <w:bodyDiv w:val="1"/>
      <w:marLeft w:val="0"/>
      <w:marRight w:val="0"/>
      <w:marTop w:val="0"/>
      <w:marBottom w:val="0"/>
      <w:divBdr>
        <w:top w:val="none" w:sz="0" w:space="0" w:color="auto"/>
        <w:left w:val="none" w:sz="0" w:space="0" w:color="auto"/>
        <w:bottom w:val="none" w:sz="0" w:space="0" w:color="auto"/>
        <w:right w:val="none" w:sz="0" w:space="0" w:color="auto"/>
      </w:divBdr>
    </w:div>
    <w:div w:id="1362972449">
      <w:bodyDiv w:val="1"/>
      <w:marLeft w:val="0"/>
      <w:marRight w:val="0"/>
      <w:marTop w:val="0"/>
      <w:marBottom w:val="0"/>
      <w:divBdr>
        <w:top w:val="none" w:sz="0" w:space="0" w:color="auto"/>
        <w:left w:val="none" w:sz="0" w:space="0" w:color="auto"/>
        <w:bottom w:val="none" w:sz="0" w:space="0" w:color="auto"/>
        <w:right w:val="none" w:sz="0" w:space="0" w:color="auto"/>
      </w:divBdr>
    </w:div>
    <w:div w:id="1366565602">
      <w:bodyDiv w:val="1"/>
      <w:marLeft w:val="0"/>
      <w:marRight w:val="0"/>
      <w:marTop w:val="0"/>
      <w:marBottom w:val="0"/>
      <w:divBdr>
        <w:top w:val="none" w:sz="0" w:space="0" w:color="auto"/>
        <w:left w:val="none" w:sz="0" w:space="0" w:color="auto"/>
        <w:bottom w:val="none" w:sz="0" w:space="0" w:color="auto"/>
        <w:right w:val="none" w:sz="0" w:space="0" w:color="auto"/>
      </w:divBdr>
      <w:divsChild>
        <w:div w:id="2111311408">
          <w:marLeft w:val="0"/>
          <w:marRight w:val="0"/>
          <w:marTop w:val="0"/>
          <w:marBottom w:val="0"/>
          <w:divBdr>
            <w:top w:val="none" w:sz="0" w:space="0" w:color="auto"/>
            <w:left w:val="none" w:sz="0" w:space="0" w:color="auto"/>
            <w:bottom w:val="none" w:sz="0" w:space="0" w:color="auto"/>
            <w:right w:val="none" w:sz="0" w:space="0" w:color="auto"/>
          </w:divBdr>
          <w:divsChild>
            <w:div w:id="1423143016">
              <w:marLeft w:val="0"/>
              <w:marRight w:val="0"/>
              <w:marTop w:val="0"/>
              <w:marBottom w:val="0"/>
              <w:divBdr>
                <w:top w:val="none" w:sz="0" w:space="0" w:color="auto"/>
                <w:left w:val="none" w:sz="0" w:space="0" w:color="auto"/>
                <w:bottom w:val="none" w:sz="0" w:space="0" w:color="auto"/>
                <w:right w:val="none" w:sz="0" w:space="0" w:color="auto"/>
              </w:divBdr>
              <w:divsChild>
                <w:div w:id="1507092190">
                  <w:marLeft w:val="0"/>
                  <w:marRight w:val="0"/>
                  <w:marTop w:val="0"/>
                  <w:marBottom w:val="0"/>
                  <w:divBdr>
                    <w:top w:val="none" w:sz="0" w:space="0" w:color="auto"/>
                    <w:left w:val="none" w:sz="0" w:space="0" w:color="auto"/>
                    <w:bottom w:val="none" w:sz="0" w:space="0" w:color="auto"/>
                    <w:right w:val="none" w:sz="0" w:space="0" w:color="auto"/>
                  </w:divBdr>
                  <w:divsChild>
                    <w:div w:id="675227229">
                      <w:marLeft w:val="0"/>
                      <w:marRight w:val="0"/>
                      <w:marTop w:val="0"/>
                      <w:marBottom w:val="0"/>
                      <w:divBdr>
                        <w:top w:val="none" w:sz="0" w:space="0" w:color="auto"/>
                        <w:left w:val="none" w:sz="0" w:space="0" w:color="auto"/>
                        <w:bottom w:val="none" w:sz="0" w:space="0" w:color="auto"/>
                        <w:right w:val="none" w:sz="0" w:space="0" w:color="auto"/>
                      </w:divBdr>
                      <w:divsChild>
                        <w:div w:id="1464814868">
                          <w:marLeft w:val="0"/>
                          <w:marRight w:val="0"/>
                          <w:marTop w:val="0"/>
                          <w:marBottom w:val="0"/>
                          <w:divBdr>
                            <w:top w:val="none" w:sz="0" w:space="0" w:color="auto"/>
                            <w:left w:val="none" w:sz="0" w:space="0" w:color="auto"/>
                            <w:bottom w:val="none" w:sz="0" w:space="0" w:color="auto"/>
                            <w:right w:val="none" w:sz="0" w:space="0" w:color="auto"/>
                          </w:divBdr>
                          <w:divsChild>
                            <w:div w:id="8824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391788">
                  <w:marLeft w:val="0"/>
                  <w:marRight w:val="0"/>
                  <w:marTop w:val="0"/>
                  <w:marBottom w:val="0"/>
                  <w:divBdr>
                    <w:top w:val="none" w:sz="0" w:space="0" w:color="auto"/>
                    <w:left w:val="none" w:sz="0" w:space="0" w:color="auto"/>
                    <w:bottom w:val="none" w:sz="0" w:space="0" w:color="auto"/>
                    <w:right w:val="none" w:sz="0" w:space="0" w:color="auto"/>
                  </w:divBdr>
                  <w:divsChild>
                    <w:div w:id="174032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370306">
      <w:bodyDiv w:val="1"/>
      <w:marLeft w:val="0"/>
      <w:marRight w:val="0"/>
      <w:marTop w:val="0"/>
      <w:marBottom w:val="0"/>
      <w:divBdr>
        <w:top w:val="none" w:sz="0" w:space="0" w:color="auto"/>
        <w:left w:val="none" w:sz="0" w:space="0" w:color="auto"/>
        <w:bottom w:val="none" w:sz="0" w:space="0" w:color="auto"/>
        <w:right w:val="none" w:sz="0" w:space="0" w:color="auto"/>
      </w:divBdr>
    </w:div>
    <w:div w:id="1539850679">
      <w:bodyDiv w:val="1"/>
      <w:marLeft w:val="0"/>
      <w:marRight w:val="0"/>
      <w:marTop w:val="0"/>
      <w:marBottom w:val="0"/>
      <w:divBdr>
        <w:top w:val="none" w:sz="0" w:space="0" w:color="auto"/>
        <w:left w:val="none" w:sz="0" w:space="0" w:color="auto"/>
        <w:bottom w:val="none" w:sz="0" w:space="0" w:color="auto"/>
        <w:right w:val="none" w:sz="0" w:space="0" w:color="auto"/>
      </w:divBdr>
    </w:div>
    <w:div w:id="1589339731">
      <w:bodyDiv w:val="1"/>
      <w:marLeft w:val="0"/>
      <w:marRight w:val="0"/>
      <w:marTop w:val="0"/>
      <w:marBottom w:val="0"/>
      <w:divBdr>
        <w:top w:val="none" w:sz="0" w:space="0" w:color="auto"/>
        <w:left w:val="none" w:sz="0" w:space="0" w:color="auto"/>
        <w:bottom w:val="none" w:sz="0" w:space="0" w:color="auto"/>
        <w:right w:val="none" w:sz="0" w:space="0" w:color="auto"/>
      </w:divBdr>
      <w:divsChild>
        <w:div w:id="1890458625">
          <w:marLeft w:val="0"/>
          <w:marRight w:val="0"/>
          <w:marTop w:val="0"/>
          <w:marBottom w:val="0"/>
          <w:divBdr>
            <w:top w:val="none" w:sz="0" w:space="0" w:color="auto"/>
            <w:left w:val="none" w:sz="0" w:space="0" w:color="auto"/>
            <w:bottom w:val="none" w:sz="0" w:space="0" w:color="auto"/>
            <w:right w:val="none" w:sz="0" w:space="0" w:color="auto"/>
          </w:divBdr>
        </w:div>
      </w:divsChild>
    </w:div>
    <w:div w:id="1601793629">
      <w:bodyDiv w:val="1"/>
      <w:marLeft w:val="0"/>
      <w:marRight w:val="0"/>
      <w:marTop w:val="0"/>
      <w:marBottom w:val="0"/>
      <w:divBdr>
        <w:top w:val="none" w:sz="0" w:space="0" w:color="auto"/>
        <w:left w:val="none" w:sz="0" w:space="0" w:color="auto"/>
        <w:bottom w:val="none" w:sz="0" w:space="0" w:color="auto"/>
        <w:right w:val="none" w:sz="0" w:space="0" w:color="auto"/>
      </w:divBdr>
    </w:div>
    <w:div w:id="1637371843">
      <w:bodyDiv w:val="1"/>
      <w:marLeft w:val="0"/>
      <w:marRight w:val="0"/>
      <w:marTop w:val="0"/>
      <w:marBottom w:val="0"/>
      <w:divBdr>
        <w:top w:val="none" w:sz="0" w:space="0" w:color="auto"/>
        <w:left w:val="none" w:sz="0" w:space="0" w:color="auto"/>
        <w:bottom w:val="none" w:sz="0" w:space="0" w:color="auto"/>
        <w:right w:val="none" w:sz="0" w:space="0" w:color="auto"/>
      </w:divBdr>
    </w:div>
    <w:div w:id="1644849706">
      <w:bodyDiv w:val="1"/>
      <w:marLeft w:val="0"/>
      <w:marRight w:val="0"/>
      <w:marTop w:val="0"/>
      <w:marBottom w:val="0"/>
      <w:divBdr>
        <w:top w:val="none" w:sz="0" w:space="0" w:color="auto"/>
        <w:left w:val="none" w:sz="0" w:space="0" w:color="auto"/>
        <w:bottom w:val="none" w:sz="0" w:space="0" w:color="auto"/>
        <w:right w:val="none" w:sz="0" w:space="0" w:color="auto"/>
      </w:divBdr>
    </w:div>
    <w:div w:id="1880780405">
      <w:bodyDiv w:val="1"/>
      <w:marLeft w:val="0"/>
      <w:marRight w:val="0"/>
      <w:marTop w:val="0"/>
      <w:marBottom w:val="0"/>
      <w:divBdr>
        <w:top w:val="none" w:sz="0" w:space="0" w:color="auto"/>
        <w:left w:val="none" w:sz="0" w:space="0" w:color="auto"/>
        <w:bottom w:val="none" w:sz="0" w:space="0" w:color="auto"/>
        <w:right w:val="none" w:sz="0" w:space="0" w:color="auto"/>
      </w:divBdr>
    </w:div>
    <w:div w:id="1884322731">
      <w:bodyDiv w:val="1"/>
      <w:marLeft w:val="0"/>
      <w:marRight w:val="0"/>
      <w:marTop w:val="0"/>
      <w:marBottom w:val="0"/>
      <w:divBdr>
        <w:top w:val="none" w:sz="0" w:space="0" w:color="auto"/>
        <w:left w:val="none" w:sz="0" w:space="0" w:color="auto"/>
        <w:bottom w:val="none" w:sz="0" w:space="0" w:color="auto"/>
        <w:right w:val="none" w:sz="0" w:space="0" w:color="auto"/>
      </w:divBdr>
    </w:div>
    <w:div w:id="213905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371/journal.pone.0327810" TargetMode="External"/><Relationship Id="rId18" Type="http://schemas.openxmlformats.org/officeDocument/2006/relationships/hyperlink" Target="https://doi.org/10.1177/0306624X0935668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146/annurev-criminol-111523-122451" TargetMode="External"/><Relationship Id="rId7" Type="http://schemas.openxmlformats.org/officeDocument/2006/relationships/endnotes" Target="endnotes.xml"/><Relationship Id="rId12" Type="http://schemas.openxmlformats.org/officeDocument/2006/relationships/hyperlink" Target="https://doi.org/10.5603/SP.2016.0002" TargetMode="External"/><Relationship Id="rId17" Type="http://schemas.openxmlformats.org/officeDocument/2006/relationships/hyperlink" Target="https://doi.org/10.1177/1524838025133879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86/727028" TargetMode="External"/><Relationship Id="rId20" Type="http://schemas.openxmlformats.org/officeDocument/2006/relationships/hyperlink" Target="https://doi.org/10.19090/pp.2021.4.509-5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7/0022-006X.73.6.1154" TargetMode="External"/><Relationship Id="rId24" Type="http://schemas.openxmlformats.org/officeDocument/2006/relationships/hyperlink" Target="https://doi.org/10.3390/ijerph20136212" TargetMode="External"/><Relationship Id="rId5" Type="http://schemas.openxmlformats.org/officeDocument/2006/relationships/webSettings" Target="webSettings.xml"/><Relationship Id="rId15" Type="http://schemas.openxmlformats.org/officeDocument/2006/relationships/hyperlink" Target="https://doi.org/10.1177/07340168231157385" TargetMode="External"/><Relationship Id="rId23" Type="http://schemas.openxmlformats.org/officeDocument/2006/relationships/hyperlink" Target="https://doi.org/10.1017/S1092852919001056" TargetMode="External"/><Relationship Id="rId10" Type="http://schemas.openxmlformats.org/officeDocument/2006/relationships/hyperlink" Target="https://doi.org/10.1080/1068316X.2023.2166506" TargetMode="External"/><Relationship Id="rId19" Type="http://schemas.openxmlformats.org/officeDocument/2006/relationships/hyperlink" Target="https://doi.org/10.5937/bezbednost2403005O" TargetMode="External"/><Relationship Id="rId44"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doi.org/10.3176/tr.2019.4.04" TargetMode="External"/><Relationship Id="rId14" Type="http://schemas.openxmlformats.org/officeDocument/2006/relationships/hyperlink" Target="https://doi.org/10.5937/nabepo27-37491" TargetMode="External"/><Relationship Id="rId22" Type="http://schemas.openxmlformats.org/officeDocument/2006/relationships/hyperlink" Target="https://doi.org/10.1177/107906322311536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EF8CD-0F7E-4DA9-B715-72CD9CA58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17</Pages>
  <Words>5478</Words>
  <Characters>31229</Characters>
  <Application>Microsoft Office Word</Application>
  <DocSecurity>0</DocSecurity>
  <Lines>260</Lines>
  <Paragraphs>73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DISCUSSION AND CONCLUSIONS</vt:lpstr>
    </vt:vector>
  </TitlesOfParts>
  <Company/>
  <LinksUpToDate>false</LinksUpToDate>
  <CharactersWithSpaces>36634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Baic</dc:creator>
  <cp:keywords/>
  <dc:description/>
  <cp:lastModifiedBy>Valentina Baic</cp:lastModifiedBy>
  <cp:revision>17</cp:revision>
  <dcterms:created xsi:type="dcterms:W3CDTF">2026-02-07T11:43:00Z</dcterms:created>
  <dcterms:modified xsi:type="dcterms:W3CDTF">2026-02-09T06:05:00Z</dcterms:modified>
</cp:coreProperties>
</file>