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A3E43C" w14:textId="5586BD40" w:rsidR="00705126" w:rsidRPr="006020DF" w:rsidRDefault="00705126" w:rsidP="00705126">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A THEORY OF PLANNED BEHAVIOR FRAMEWORK FOR EXAMINING CITIZENS’ PREPAREDNESS FOR EARTHQUAKE DISASTERS</w:t>
      </w:r>
    </w:p>
    <w:p w14:paraId="1D2B5070" w14:textId="77777777" w:rsidR="00705126" w:rsidRPr="006020DF" w:rsidRDefault="00705126" w:rsidP="00705126">
      <w:pPr>
        <w:spacing w:after="0" w:line="240" w:lineRule="auto"/>
        <w:ind w:firstLine="567"/>
        <w:jc w:val="both"/>
        <w:rPr>
          <w:rFonts w:ascii="Times New Roman" w:hAnsi="Times New Roman" w:cs="Times New Roman"/>
          <w:sz w:val="24"/>
          <w:szCs w:val="24"/>
          <w:lang w:val="en-US"/>
        </w:rPr>
      </w:pPr>
    </w:p>
    <w:p w14:paraId="0CC42693" w14:textId="77777777" w:rsidR="00E052D8" w:rsidRPr="006020DF" w:rsidRDefault="00705126" w:rsidP="00116D9C">
      <w:pPr>
        <w:spacing w:after="0" w:line="240" w:lineRule="auto"/>
        <w:ind w:firstLine="567"/>
        <w:jc w:val="center"/>
        <w:rPr>
          <w:rFonts w:ascii="Times New Roman" w:hAnsi="Times New Roman" w:cs="Times New Roman"/>
          <w:b/>
          <w:bCs/>
          <w:iCs/>
          <w:sz w:val="24"/>
          <w:szCs w:val="24"/>
          <w:lang w:val="en-US"/>
        </w:rPr>
      </w:pPr>
      <w:r w:rsidRPr="006020DF">
        <w:rPr>
          <w:rFonts w:ascii="Times New Roman" w:hAnsi="Times New Roman" w:cs="Times New Roman"/>
          <w:b/>
          <w:bCs/>
          <w:iCs/>
          <w:sz w:val="24"/>
          <w:szCs w:val="24"/>
          <w:lang w:val="en-US"/>
        </w:rPr>
        <w:t>Abstract</w:t>
      </w:r>
    </w:p>
    <w:p w14:paraId="6AC5C92F" w14:textId="23E65128" w:rsidR="00CC0063" w:rsidRPr="006020DF" w:rsidRDefault="00705126" w:rsidP="00EA150A">
      <w:pPr>
        <w:spacing w:after="0" w:line="240" w:lineRule="auto"/>
        <w:ind w:firstLine="567"/>
        <w:jc w:val="both"/>
        <w:rPr>
          <w:rFonts w:ascii="Times New Roman" w:hAnsi="Times New Roman" w:cs="Times New Roman"/>
          <w:i/>
          <w:sz w:val="24"/>
          <w:szCs w:val="24"/>
          <w:lang w:val="en-US"/>
        </w:rPr>
      </w:pPr>
      <w:r w:rsidRPr="006020DF">
        <w:rPr>
          <w:rFonts w:ascii="Times New Roman" w:hAnsi="Times New Roman" w:cs="Times New Roman"/>
          <w:i/>
          <w:sz w:val="24"/>
          <w:szCs w:val="24"/>
          <w:lang w:val="en-US"/>
        </w:rPr>
        <w:br/>
      </w:r>
      <w:r w:rsidR="00EA150A" w:rsidRPr="006020DF">
        <w:rPr>
          <w:rFonts w:ascii="Times New Roman" w:hAnsi="Times New Roman" w:cs="Times New Roman"/>
          <w:i/>
          <w:sz w:val="24"/>
          <w:szCs w:val="24"/>
          <w:lang w:val="en-US"/>
        </w:rPr>
        <w:t>The paper presents a scientific analysis of the Theory of Planned Behavior (TPB), a widely recognized framework in the study of human behavior. The primary objective is to conceptually examine the theory’s application to citizens’ preparedness for natural disasters, specifically earthquakes. The TPB is among the most prominent models in the behavioral sciences, as it elucidates the motivational factors that influence behavior. According to its core postulates, intentions serve as immediate predictors of behavior. Intentions represent an individual’s readiness to invest effort in performing a specific behavior and arise from the interaction of three components: attitudes toward the behavior, subjective norms, and perceived behavioral control. Special attention is given to understanding citizens’ preparedness and to analyzing variables identified as predictors of behavior in the context of earthquake preparedness, including both personal and environmental factors. Previous research indicates that gender, risk perception, age, marital status, educational attainment, economic status, and home ownership are associated with the adoption of preventive measures in the event of an earthquake.</w:t>
      </w:r>
    </w:p>
    <w:p w14:paraId="2AAC7BA2" w14:textId="77777777" w:rsidR="00EA150A" w:rsidRPr="006020DF" w:rsidRDefault="00EA150A" w:rsidP="00EA150A">
      <w:pPr>
        <w:spacing w:after="0" w:line="240" w:lineRule="auto"/>
        <w:ind w:firstLine="567"/>
        <w:jc w:val="both"/>
        <w:rPr>
          <w:rFonts w:ascii="Times New Roman" w:hAnsi="Times New Roman" w:cs="Times New Roman"/>
          <w:i/>
          <w:iCs/>
          <w:sz w:val="24"/>
          <w:szCs w:val="24"/>
          <w:lang w:val="en-US"/>
        </w:rPr>
      </w:pPr>
    </w:p>
    <w:p w14:paraId="0C7EB78C" w14:textId="4C762066" w:rsidR="00356214" w:rsidRPr="006020DF" w:rsidRDefault="00705126" w:rsidP="00870D48">
      <w:pPr>
        <w:spacing w:after="0" w:line="240" w:lineRule="auto"/>
        <w:ind w:firstLine="567"/>
        <w:jc w:val="both"/>
        <w:rPr>
          <w:rFonts w:ascii="Times New Roman" w:hAnsi="Times New Roman" w:cs="Times New Roman"/>
          <w:bCs/>
          <w:i/>
          <w:sz w:val="24"/>
          <w:szCs w:val="24"/>
          <w:lang w:val="en-US"/>
        </w:rPr>
      </w:pPr>
      <w:r w:rsidRPr="006020DF">
        <w:rPr>
          <w:rFonts w:ascii="Times New Roman" w:hAnsi="Times New Roman" w:cs="Times New Roman"/>
          <w:b/>
          <w:bCs/>
          <w:i/>
          <w:sz w:val="24"/>
          <w:szCs w:val="24"/>
          <w:lang w:val="en-US"/>
        </w:rPr>
        <w:t>Keywords:</w:t>
      </w:r>
      <w:r w:rsidRPr="006020DF">
        <w:rPr>
          <w:rFonts w:ascii="Times New Roman" w:hAnsi="Times New Roman" w:cs="Times New Roman"/>
          <w:b/>
          <w:i/>
          <w:sz w:val="24"/>
          <w:szCs w:val="24"/>
          <w:lang w:val="en-US"/>
        </w:rPr>
        <w:t xml:space="preserve"> </w:t>
      </w:r>
      <w:r w:rsidRPr="006020DF">
        <w:rPr>
          <w:rFonts w:ascii="Times New Roman" w:hAnsi="Times New Roman" w:cs="Times New Roman"/>
          <w:bCs/>
          <w:i/>
          <w:sz w:val="24"/>
          <w:szCs w:val="24"/>
          <w:lang w:val="en-US"/>
        </w:rPr>
        <w:t>disaster risk management, Theory of Planned Behavior, natural disasters, earthquakes, preparedness</w:t>
      </w:r>
    </w:p>
    <w:p w14:paraId="6B095B51" w14:textId="77777777" w:rsidR="009D1191" w:rsidRPr="006020DF" w:rsidRDefault="009D1191" w:rsidP="00E53785">
      <w:pPr>
        <w:spacing w:after="0" w:line="240" w:lineRule="auto"/>
        <w:jc w:val="both"/>
        <w:rPr>
          <w:rFonts w:ascii="Times New Roman" w:hAnsi="Times New Roman" w:cs="Times New Roman"/>
          <w:bCs/>
          <w:i/>
          <w:sz w:val="24"/>
          <w:szCs w:val="24"/>
          <w:lang w:val="en-US"/>
        </w:rPr>
      </w:pPr>
    </w:p>
    <w:p w14:paraId="6DCF1523" w14:textId="5C9CB4E4" w:rsidR="009D1191" w:rsidRPr="006020DF" w:rsidRDefault="009D1191" w:rsidP="009D1191">
      <w:pPr>
        <w:spacing w:after="0" w:line="240" w:lineRule="auto"/>
        <w:ind w:firstLine="567"/>
        <w:jc w:val="both"/>
        <w:rPr>
          <w:rFonts w:ascii="Times New Roman" w:hAnsi="Times New Roman" w:cs="Times New Roman"/>
          <w:b/>
          <w:bCs/>
          <w:iCs/>
          <w:sz w:val="24"/>
          <w:szCs w:val="24"/>
          <w:lang w:val="en-US"/>
        </w:rPr>
      </w:pPr>
      <w:r w:rsidRPr="006020DF">
        <w:rPr>
          <w:rFonts w:ascii="Times New Roman" w:hAnsi="Times New Roman" w:cs="Times New Roman"/>
          <w:b/>
          <w:bCs/>
          <w:iCs/>
          <w:sz w:val="24"/>
          <w:szCs w:val="24"/>
          <w:lang w:val="en-US"/>
        </w:rPr>
        <w:t>ПРИМЕНA ТЕОРИЈЕ ПЛАНИРАНОГ ПОНАШАЊА У АНАЛИЗИ ПРИПРЕМЉЕНОСТИ ГРАЂАНА НА ЗЕМЉОТРЕСЕ</w:t>
      </w:r>
    </w:p>
    <w:p w14:paraId="5866CAD8" w14:textId="77777777" w:rsidR="009D1191" w:rsidRPr="006020DF" w:rsidRDefault="009D1191" w:rsidP="009D1191">
      <w:pPr>
        <w:spacing w:after="0" w:line="240" w:lineRule="auto"/>
        <w:ind w:firstLine="567"/>
        <w:jc w:val="both"/>
        <w:rPr>
          <w:rFonts w:ascii="Times New Roman" w:hAnsi="Times New Roman" w:cs="Times New Roman"/>
          <w:bCs/>
          <w:i/>
          <w:sz w:val="24"/>
          <w:szCs w:val="24"/>
          <w:lang w:val="en-US"/>
        </w:rPr>
      </w:pPr>
    </w:p>
    <w:p w14:paraId="77942FF3" w14:textId="77777777" w:rsidR="009D1191" w:rsidRPr="006020DF" w:rsidRDefault="009D1191" w:rsidP="00116D9C">
      <w:pPr>
        <w:spacing w:after="0" w:line="240" w:lineRule="auto"/>
        <w:ind w:firstLine="567"/>
        <w:jc w:val="center"/>
        <w:rPr>
          <w:rFonts w:ascii="Times New Roman" w:hAnsi="Times New Roman" w:cs="Times New Roman"/>
          <w:b/>
          <w:i/>
          <w:sz w:val="24"/>
          <w:szCs w:val="24"/>
          <w:lang w:val="en-US"/>
        </w:rPr>
      </w:pPr>
      <w:proofErr w:type="spellStart"/>
      <w:r w:rsidRPr="006020DF">
        <w:rPr>
          <w:rFonts w:ascii="Times New Roman" w:hAnsi="Times New Roman" w:cs="Times New Roman"/>
          <w:b/>
          <w:i/>
          <w:sz w:val="24"/>
          <w:szCs w:val="24"/>
          <w:lang w:val="en-US"/>
        </w:rPr>
        <w:t>Апстракт</w:t>
      </w:r>
      <w:proofErr w:type="spellEnd"/>
    </w:p>
    <w:p w14:paraId="119CC0FE" w14:textId="77777777" w:rsidR="00116D9C" w:rsidRPr="006020DF" w:rsidRDefault="00116D9C" w:rsidP="00116D9C">
      <w:pPr>
        <w:spacing w:after="0" w:line="240" w:lineRule="auto"/>
        <w:ind w:firstLine="567"/>
        <w:jc w:val="center"/>
        <w:rPr>
          <w:rFonts w:ascii="Times New Roman" w:hAnsi="Times New Roman" w:cs="Times New Roman"/>
          <w:b/>
          <w:i/>
          <w:sz w:val="24"/>
          <w:szCs w:val="24"/>
          <w:lang w:val="en-US"/>
        </w:rPr>
      </w:pPr>
    </w:p>
    <w:p w14:paraId="030D8D1F" w14:textId="02447522" w:rsidR="00221F7D" w:rsidRPr="006020DF" w:rsidRDefault="002B216A" w:rsidP="009D1191">
      <w:pPr>
        <w:spacing w:after="0" w:line="240" w:lineRule="auto"/>
        <w:ind w:firstLine="567"/>
        <w:jc w:val="both"/>
        <w:rPr>
          <w:rFonts w:ascii="Times New Roman" w:hAnsi="Times New Roman" w:cs="Times New Roman"/>
          <w:b/>
          <w:i/>
          <w:sz w:val="24"/>
          <w:szCs w:val="24"/>
          <w:lang w:val="en-US"/>
        </w:rPr>
      </w:pPr>
      <w:r w:rsidRPr="006020DF">
        <w:rPr>
          <w:rFonts w:ascii="Times New Roman" w:hAnsi="Times New Roman" w:cs="Times New Roman"/>
          <w:sz w:val="24"/>
          <w:szCs w:val="24"/>
          <w:lang w:val="en-US"/>
        </w:rPr>
        <w:t xml:space="preserve">У </w:t>
      </w:r>
      <w:proofErr w:type="spellStart"/>
      <w:r w:rsidRPr="006020DF">
        <w:rPr>
          <w:rFonts w:ascii="Times New Roman" w:hAnsi="Times New Roman" w:cs="Times New Roman"/>
          <w:sz w:val="24"/>
          <w:szCs w:val="24"/>
          <w:lang w:val="en-US"/>
        </w:rPr>
        <w:t>раду</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је</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дата</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научна</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анализа</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једне</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од</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најпознатијих</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теорија</w:t>
      </w:r>
      <w:proofErr w:type="spellEnd"/>
      <w:r w:rsidRPr="006020DF">
        <w:rPr>
          <w:rFonts w:ascii="Times New Roman" w:hAnsi="Times New Roman" w:cs="Times New Roman"/>
          <w:sz w:val="24"/>
          <w:szCs w:val="24"/>
          <w:lang w:val="en-US"/>
        </w:rPr>
        <w:t xml:space="preserve"> у </w:t>
      </w:r>
      <w:proofErr w:type="spellStart"/>
      <w:r w:rsidRPr="006020DF">
        <w:rPr>
          <w:rFonts w:ascii="Times New Roman" w:hAnsi="Times New Roman" w:cs="Times New Roman"/>
          <w:sz w:val="24"/>
          <w:szCs w:val="24"/>
          <w:lang w:val="en-US"/>
        </w:rPr>
        <w:t>проучавању</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људског</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понашања</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теорије</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планираног</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понашања</w:t>
      </w:r>
      <w:proofErr w:type="spellEnd"/>
      <w:r w:rsidR="00CF3423">
        <w:rPr>
          <w:rFonts w:ascii="Times New Roman" w:hAnsi="Times New Roman" w:cs="Times New Roman"/>
          <w:sz w:val="24"/>
          <w:szCs w:val="24"/>
          <w:lang w:val="en-US"/>
        </w:rPr>
        <w:t xml:space="preserve"> (</w:t>
      </w:r>
      <w:r w:rsidR="00CF3423">
        <w:rPr>
          <w:rFonts w:ascii="Times New Roman" w:hAnsi="Times New Roman" w:cs="Times New Roman"/>
          <w:sz w:val="24"/>
          <w:szCs w:val="24"/>
          <w:lang w:val="sr-Cyrl-RS"/>
        </w:rPr>
        <w:t>ТПП)</w:t>
      </w:r>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ради</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њеног</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концептуалног</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сагледавања</w:t>
      </w:r>
      <w:proofErr w:type="spellEnd"/>
      <w:r w:rsidRPr="006020DF">
        <w:rPr>
          <w:rFonts w:ascii="Times New Roman" w:hAnsi="Times New Roman" w:cs="Times New Roman"/>
          <w:sz w:val="24"/>
          <w:szCs w:val="24"/>
          <w:lang w:val="en-US"/>
        </w:rPr>
        <w:t xml:space="preserve"> у </w:t>
      </w:r>
      <w:proofErr w:type="spellStart"/>
      <w:r w:rsidRPr="006020DF">
        <w:rPr>
          <w:rFonts w:ascii="Times New Roman" w:hAnsi="Times New Roman" w:cs="Times New Roman"/>
          <w:sz w:val="24"/>
          <w:szCs w:val="24"/>
          <w:lang w:val="en-US"/>
        </w:rPr>
        <w:t>области</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припремљености</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грађана</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за</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природне</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катастрофе</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изазване</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земљотресима</w:t>
      </w:r>
      <w:proofErr w:type="spellEnd"/>
      <w:r w:rsidRPr="006020DF">
        <w:rPr>
          <w:rFonts w:ascii="Times New Roman" w:hAnsi="Times New Roman" w:cs="Times New Roman"/>
          <w:sz w:val="24"/>
          <w:szCs w:val="24"/>
          <w:lang w:val="en-US"/>
        </w:rPr>
        <w:t xml:space="preserve">. </w:t>
      </w:r>
      <w:r w:rsidR="00497070" w:rsidRPr="006020DF">
        <w:rPr>
          <w:rFonts w:ascii="Times New Roman" w:hAnsi="Times New Roman" w:cs="Times New Roman"/>
          <w:sz w:val="24"/>
          <w:szCs w:val="24"/>
          <w:lang w:val="en-US"/>
        </w:rPr>
        <w:t>Т</w:t>
      </w:r>
      <w:r w:rsidR="00CF3423">
        <w:rPr>
          <w:rFonts w:ascii="Times New Roman" w:hAnsi="Times New Roman" w:cs="Times New Roman"/>
          <w:sz w:val="24"/>
          <w:szCs w:val="24"/>
          <w:lang w:val="sr-Cyrl-RS"/>
        </w:rPr>
        <w:t>ПП</w:t>
      </w:r>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представља</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један</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од</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најзначајнијих</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теоријских</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оквира</w:t>
      </w:r>
      <w:proofErr w:type="spellEnd"/>
      <w:r w:rsidR="00497070" w:rsidRPr="006020DF">
        <w:rPr>
          <w:rFonts w:ascii="Times New Roman" w:hAnsi="Times New Roman" w:cs="Times New Roman"/>
          <w:sz w:val="24"/>
          <w:szCs w:val="24"/>
          <w:lang w:val="en-US"/>
        </w:rPr>
        <w:t xml:space="preserve"> у </w:t>
      </w:r>
      <w:proofErr w:type="spellStart"/>
      <w:r w:rsidR="00497070" w:rsidRPr="006020DF">
        <w:rPr>
          <w:rFonts w:ascii="Times New Roman" w:hAnsi="Times New Roman" w:cs="Times New Roman"/>
          <w:sz w:val="24"/>
          <w:szCs w:val="24"/>
          <w:lang w:val="en-US"/>
        </w:rPr>
        <w:t>области</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бихевиоралних</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наука</w:t>
      </w:r>
      <w:proofErr w:type="spellEnd"/>
      <w:r w:rsidR="00497070"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кој</w:t>
      </w:r>
      <w:r w:rsidR="00F42BCD" w:rsidRPr="006020DF">
        <w:rPr>
          <w:rFonts w:ascii="Times New Roman" w:hAnsi="Times New Roman" w:cs="Times New Roman"/>
          <w:sz w:val="24"/>
          <w:szCs w:val="24"/>
          <w:lang w:val="en-US"/>
        </w:rPr>
        <w:t>ом</w:t>
      </w:r>
      <w:proofErr w:type="spellEnd"/>
      <w:r w:rsidR="00F42BCD" w:rsidRPr="006020DF">
        <w:rPr>
          <w:rFonts w:ascii="Times New Roman" w:hAnsi="Times New Roman" w:cs="Times New Roman"/>
          <w:sz w:val="24"/>
          <w:szCs w:val="24"/>
          <w:lang w:val="en-US"/>
        </w:rPr>
        <w:t xml:space="preserve"> </w:t>
      </w:r>
      <w:proofErr w:type="spellStart"/>
      <w:r w:rsidR="00F42BCD" w:rsidRPr="006020DF">
        <w:rPr>
          <w:rFonts w:ascii="Times New Roman" w:hAnsi="Times New Roman" w:cs="Times New Roman"/>
          <w:sz w:val="24"/>
          <w:szCs w:val="24"/>
          <w:lang w:val="en-US"/>
        </w:rPr>
        <w:t>се</w:t>
      </w:r>
      <w:proofErr w:type="spellEnd"/>
      <w:r w:rsidR="00F42BCD" w:rsidRPr="006020DF">
        <w:rPr>
          <w:rFonts w:ascii="Times New Roman" w:hAnsi="Times New Roman" w:cs="Times New Roman"/>
          <w:sz w:val="24"/>
          <w:szCs w:val="24"/>
          <w:lang w:val="en-US"/>
        </w:rPr>
        <w:t xml:space="preserve"> </w:t>
      </w:r>
      <w:proofErr w:type="spellStart"/>
      <w:r w:rsidR="00F42BCD" w:rsidRPr="006020DF">
        <w:rPr>
          <w:rFonts w:ascii="Times New Roman" w:hAnsi="Times New Roman" w:cs="Times New Roman"/>
          <w:sz w:val="24"/>
          <w:szCs w:val="24"/>
          <w:lang w:val="en-US"/>
        </w:rPr>
        <w:t>објашњавају</w:t>
      </w:r>
      <w:proofErr w:type="spellEnd"/>
      <w:r w:rsidR="00F42BCD" w:rsidRPr="006020DF">
        <w:rPr>
          <w:rFonts w:ascii="Times New Roman" w:hAnsi="Times New Roman" w:cs="Times New Roman"/>
          <w:sz w:val="24"/>
          <w:szCs w:val="24"/>
          <w:lang w:val="en-US"/>
        </w:rPr>
        <w:t xml:space="preserve"> </w:t>
      </w:r>
      <w:proofErr w:type="spellStart"/>
      <w:r w:rsidR="00F42BCD" w:rsidRPr="006020DF">
        <w:rPr>
          <w:rFonts w:ascii="Times New Roman" w:hAnsi="Times New Roman" w:cs="Times New Roman"/>
          <w:sz w:val="24"/>
          <w:szCs w:val="24"/>
          <w:lang w:val="en-US"/>
        </w:rPr>
        <w:t>мотивационе</w:t>
      </w:r>
      <w:proofErr w:type="spellEnd"/>
      <w:r w:rsidR="00F42BCD" w:rsidRPr="006020DF">
        <w:rPr>
          <w:rFonts w:ascii="Times New Roman" w:hAnsi="Times New Roman" w:cs="Times New Roman"/>
          <w:sz w:val="24"/>
          <w:szCs w:val="24"/>
          <w:lang w:val="en-US"/>
        </w:rPr>
        <w:t xml:space="preserve"> </w:t>
      </w:r>
      <w:proofErr w:type="spellStart"/>
      <w:r w:rsidR="00F42BCD" w:rsidRPr="006020DF">
        <w:rPr>
          <w:rFonts w:ascii="Times New Roman" w:hAnsi="Times New Roman" w:cs="Times New Roman"/>
          <w:sz w:val="24"/>
          <w:szCs w:val="24"/>
          <w:lang w:val="en-US"/>
        </w:rPr>
        <w:t>варијабле</w:t>
      </w:r>
      <w:proofErr w:type="spellEnd"/>
      <w:r w:rsidR="00F42BCD" w:rsidRPr="006020DF">
        <w:rPr>
          <w:rFonts w:ascii="Times New Roman" w:hAnsi="Times New Roman" w:cs="Times New Roman"/>
          <w:sz w:val="24"/>
          <w:szCs w:val="24"/>
          <w:lang w:val="en-US"/>
        </w:rPr>
        <w:t xml:space="preserve"> </w:t>
      </w:r>
      <w:proofErr w:type="spellStart"/>
      <w:r w:rsidR="00F42BCD" w:rsidRPr="006020DF">
        <w:rPr>
          <w:rFonts w:ascii="Times New Roman" w:hAnsi="Times New Roman" w:cs="Times New Roman"/>
          <w:sz w:val="24"/>
          <w:szCs w:val="24"/>
          <w:lang w:val="en-US"/>
        </w:rPr>
        <w:t>које</w:t>
      </w:r>
      <w:proofErr w:type="spellEnd"/>
      <w:r w:rsidR="00F42BCD" w:rsidRPr="006020DF">
        <w:rPr>
          <w:rFonts w:ascii="Times New Roman" w:hAnsi="Times New Roman" w:cs="Times New Roman"/>
          <w:sz w:val="24"/>
          <w:szCs w:val="24"/>
          <w:lang w:val="en-US"/>
        </w:rPr>
        <w:t xml:space="preserve"> </w:t>
      </w:r>
      <w:proofErr w:type="spellStart"/>
      <w:r w:rsidR="00F42BCD" w:rsidRPr="006020DF">
        <w:rPr>
          <w:rFonts w:ascii="Times New Roman" w:hAnsi="Times New Roman" w:cs="Times New Roman"/>
          <w:sz w:val="24"/>
          <w:szCs w:val="24"/>
          <w:lang w:val="en-US"/>
        </w:rPr>
        <w:t>утичу</w:t>
      </w:r>
      <w:proofErr w:type="spellEnd"/>
      <w:r w:rsidR="00F42BCD" w:rsidRPr="006020DF">
        <w:rPr>
          <w:rFonts w:ascii="Times New Roman" w:hAnsi="Times New Roman" w:cs="Times New Roman"/>
          <w:sz w:val="24"/>
          <w:szCs w:val="24"/>
          <w:lang w:val="en-US"/>
        </w:rPr>
        <w:t xml:space="preserve"> </w:t>
      </w:r>
      <w:proofErr w:type="spellStart"/>
      <w:r w:rsidR="00F42BCD" w:rsidRPr="006020DF">
        <w:rPr>
          <w:rFonts w:ascii="Times New Roman" w:hAnsi="Times New Roman" w:cs="Times New Roman"/>
          <w:sz w:val="24"/>
          <w:szCs w:val="24"/>
          <w:lang w:val="en-US"/>
        </w:rPr>
        <w:t>на</w:t>
      </w:r>
      <w:proofErr w:type="spellEnd"/>
      <w:r w:rsidR="00F42BCD" w:rsidRPr="006020DF">
        <w:rPr>
          <w:rFonts w:ascii="Times New Roman" w:hAnsi="Times New Roman" w:cs="Times New Roman"/>
          <w:sz w:val="24"/>
          <w:szCs w:val="24"/>
          <w:lang w:val="en-US"/>
        </w:rPr>
        <w:t xml:space="preserve"> </w:t>
      </w:r>
      <w:proofErr w:type="spellStart"/>
      <w:r w:rsidR="00F42BCD" w:rsidRPr="006020DF">
        <w:rPr>
          <w:rFonts w:ascii="Times New Roman" w:hAnsi="Times New Roman" w:cs="Times New Roman"/>
          <w:sz w:val="24"/>
          <w:szCs w:val="24"/>
          <w:lang w:val="en-US"/>
        </w:rPr>
        <w:t>понашање</w:t>
      </w:r>
      <w:proofErr w:type="spellEnd"/>
      <w:r w:rsidR="00F42BCD"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Према</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основним</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постулатима</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ове</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теорије</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намере</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се</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сматрају</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непосредним</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предикторима</w:t>
      </w:r>
      <w:proofErr w:type="spellEnd"/>
      <w:r w:rsidR="00497070" w:rsidRPr="006020DF">
        <w:rPr>
          <w:rFonts w:ascii="Times New Roman" w:hAnsi="Times New Roman" w:cs="Times New Roman"/>
          <w:sz w:val="24"/>
          <w:szCs w:val="24"/>
          <w:lang w:val="en-US"/>
        </w:rPr>
        <w:t xml:space="preserve"> </w:t>
      </w:r>
      <w:proofErr w:type="spellStart"/>
      <w:r w:rsidR="00497070" w:rsidRPr="006020DF">
        <w:rPr>
          <w:rFonts w:ascii="Times New Roman" w:hAnsi="Times New Roman" w:cs="Times New Roman"/>
          <w:sz w:val="24"/>
          <w:szCs w:val="24"/>
          <w:lang w:val="en-US"/>
        </w:rPr>
        <w:t>понашања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Намере</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одражавају</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спремност</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појединца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да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уложи</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одређени</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напор</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ради</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извођења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конкретног</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понашања</w:t>
      </w:r>
      <w:proofErr w:type="spellEnd"/>
      <w:r w:rsidR="00221F7D" w:rsidRPr="006020DF">
        <w:rPr>
          <w:rFonts w:ascii="Times New Roman" w:hAnsi="Times New Roman" w:cs="Times New Roman"/>
          <w:sz w:val="24"/>
          <w:szCs w:val="24"/>
          <w:lang w:val="en-US"/>
        </w:rPr>
        <w:t xml:space="preserve"> и </w:t>
      </w:r>
      <w:proofErr w:type="spellStart"/>
      <w:r w:rsidR="00221F7D" w:rsidRPr="006020DF">
        <w:rPr>
          <w:rFonts w:ascii="Times New Roman" w:hAnsi="Times New Roman" w:cs="Times New Roman"/>
          <w:sz w:val="24"/>
          <w:szCs w:val="24"/>
          <w:lang w:val="en-US"/>
        </w:rPr>
        <w:t>представљају</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резултат</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интеракције</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три</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компоненте</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става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према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понашању</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субјективних</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норми</w:t>
      </w:r>
      <w:proofErr w:type="spellEnd"/>
      <w:r w:rsidR="00221F7D" w:rsidRPr="006020DF">
        <w:rPr>
          <w:rFonts w:ascii="Times New Roman" w:hAnsi="Times New Roman" w:cs="Times New Roman"/>
          <w:sz w:val="24"/>
          <w:szCs w:val="24"/>
          <w:lang w:val="en-US"/>
        </w:rPr>
        <w:t xml:space="preserve"> и </w:t>
      </w:r>
      <w:proofErr w:type="spellStart"/>
      <w:r w:rsidR="00221F7D" w:rsidRPr="006020DF">
        <w:rPr>
          <w:rFonts w:ascii="Times New Roman" w:hAnsi="Times New Roman" w:cs="Times New Roman"/>
          <w:sz w:val="24"/>
          <w:szCs w:val="24"/>
          <w:lang w:val="en-US"/>
        </w:rPr>
        <w:t>перципиране</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контроле</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понашања</w:t>
      </w:r>
      <w:proofErr w:type="spellEnd"/>
      <w:r w:rsidR="00221F7D" w:rsidRPr="006020DF">
        <w:rPr>
          <w:rFonts w:ascii="Times New Roman" w:hAnsi="Times New Roman" w:cs="Times New Roman"/>
          <w:sz w:val="24"/>
          <w:szCs w:val="24"/>
          <w:lang w:val="en-US"/>
        </w:rPr>
        <w:t>.</w:t>
      </w:r>
      <w:r w:rsidR="00497070"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Посебна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пажња</w:t>
      </w:r>
      <w:proofErr w:type="spellEnd"/>
      <w:r w:rsidR="00221F7D" w:rsidRPr="006020DF">
        <w:rPr>
          <w:rFonts w:ascii="Times New Roman" w:hAnsi="Times New Roman" w:cs="Times New Roman"/>
          <w:sz w:val="24"/>
          <w:szCs w:val="24"/>
          <w:lang w:val="en-US"/>
        </w:rPr>
        <w:t xml:space="preserve"> у </w:t>
      </w:r>
      <w:proofErr w:type="spellStart"/>
      <w:r w:rsidR="00221F7D" w:rsidRPr="006020DF">
        <w:rPr>
          <w:rFonts w:ascii="Times New Roman" w:hAnsi="Times New Roman" w:cs="Times New Roman"/>
          <w:sz w:val="24"/>
          <w:szCs w:val="24"/>
          <w:lang w:val="en-US"/>
        </w:rPr>
        <w:t>раду</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посвећена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је</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разумевању</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припремљености</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грађана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као</w:t>
      </w:r>
      <w:proofErr w:type="spellEnd"/>
      <w:r w:rsidR="00221F7D" w:rsidRPr="006020DF">
        <w:rPr>
          <w:rFonts w:ascii="Times New Roman" w:hAnsi="Times New Roman" w:cs="Times New Roman"/>
          <w:sz w:val="24"/>
          <w:szCs w:val="24"/>
          <w:lang w:val="en-US"/>
        </w:rPr>
        <w:t xml:space="preserve"> и </w:t>
      </w:r>
      <w:proofErr w:type="spellStart"/>
      <w:r w:rsidR="00221F7D" w:rsidRPr="006020DF">
        <w:rPr>
          <w:rFonts w:ascii="Times New Roman" w:hAnsi="Times New Roman" w:cs="Times New Roman"/>
          <w:sz w:val="24"/>
          <w:szCs w:val="24"/>
          <w:lang w:val="en-US"/>
        </w:rPr>
        <w:t>анализи</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варијабли</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које</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се</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препознају</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као</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предиктори</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понашања</w:t>
      </w:r>
      <w:proofErr w:type="spellEnd"/>
      <w:r w:rsidR="00221F7D" w:rsidRPr="006020DF">
        <w:rPr>
          <w:rFonts w:ascii="Times New Roman" w:hAnsi="Times New Roman" w:cs="Times New Roman"/>
          <w:sz w:val="24"/>
          <w:szCs w:val="24"/>
          <w:lang w:val="en-US"/>
        </w:rPr>
        <w:t xml:space="preserve"> у </w:t>
      </w:r>
      <w:proofErr w:type="spellStart"/>
      <w:r w:rsidR="00221F7D" w:rsidRPr="006020DF">
        <w:rPr>
          <w:rFonts w:ascii="Times New Roman" w:hAnsi="Times New Roman" w:cs="Times New Roman"/>
          <w:sz w:val="24"/>
          <w:szCs w:val="24"/>
          <w:lang w:val="en-US"/>
        </w:rPr>
        <w:t>контексту</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припреме</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за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земљотресе</w:t>
      </w:r>
      <w:proofErr w:type="spellEnd"/>
      <w:r w:rsidR="00C914A7" w:rsidRPr="006020DF">
        <w:rPr>
          <w:rFonts w:ascii="Times New Roman" w:hAnsi="Times New Roman" w:cs="Times New Roman"/>
          <w:sz w:val="24"/>
          <w:szCs w:val="24"/>
          <w:lang w:val="en-US"/>
        </w:rPr>
        <w:t xml:space="preserve">, а </w:t>
      </w:r>
      <w:proofErr w:type="spellStart"/>
      <w:r w:rsidR="00C914A7" w:rsidRPr="006020DF">
        <w:rPr>
          <w:rFonts w:ascii="Times New Roman" w:hAnsi="Times New Roman" w:cs="Times New Roman"/>
          <w:sz w:val="24"/>
          <w:szCs w:val="24"/>
          <w:lang w:val="en-US"/>
        </w:rPr>
        <w:t>које</w:t>
      </w:r>
      <w:proofErr w:type="spellEnd"/>
      <w:r w:rsidR="00C914A7" w:rsidRPr="006020DF">
        <w:rPr>
          <w:rFonts w:ascii="Times New Roman" w:hAnsi="Times New Roman" w:cs="Times New Roman"/>
          <w:sz w:val="24"/>
          <w:szCs w:val="24"/>
          <w:lang w:val="en-US"/>
        </w:rPr>
        <w:t xml:space="preserve"> </w:t>
      </w:r>
      <w:proofErr w:type="spellStart"/>
      <w:r w:rsidR="00C914A7" w:rsidRPr="006020DF">
        <w:rPr>
          <w:rFonts w:ascii="Times New Roman" w:hAnsi="Times New Roman" w:cs="Times New Roman"/>
          <w:sz w:val="24"/>
          <w:szCs w:val="24"/>
          <w:lang w:val="en-US"/>
        </w:rPr>
        <w:t>као</w:t>
      </w:r>
      <w:proofErr w:type="spellEnd"/>
      <w:r w:rsidR="00C914A7" w:rsidRPr="006020DF">
        <w:rPr>
          <w:rFonts w:ascii="Times New Roman" w:hAnsi="Times New Roman" w:cs="Times New Roman"/>
          <w:sz w:val="24"/>
          <w:szCs w:val="24"/>
          <w:lang w:val="en-US"/>
        </w:rPr>
        <w:t xml:space="preserve"> </w:t>
      </w:r>
      <w:proofErr w:type="spellStart"/>
      <w:r w:rsidR="00C914A7" w:rsidRPr="006020DF">
        <w:rPr>
          <w:rFonts w:ascii="Times New Roman" w:hAnsi="Times New Roman" w:cs="Times New Roman"/>
          <w:sz w:val="24"/>
          <w:szCs w:val="24"/>
          <w:lang w:val="en-US"/>
        </w:rPr>
        <w:t>такве</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обухватају</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како</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персоналне</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тако</w:t>
      </w:r>
      <w:proofErr w:type="spellEnd"/>
      <w:r w:rsidR="00221F7D" w:rsidRPr="006020DF">
        <w:rPr>
          <w:rFonts w:ascii="Times New Roman" w:hAnsi="Times New Roman" w:cs="Times New Roman"/>
          <w:sz w:val="24"/>
          <w:szCs w:val="24"/>
          <w:lang w:val="en-US"/>
        </w:rPr>
        <w:t xml:space="preserve"> и </w:t>
      </w:r>
      <w:proofErr w:type="spellStart"/>
      <w:r w:rsidR="00221F7D" w:rsidRPr="006020DF">
        <w:rPr>
          <w:rFonts w:ascii="Times New Roman" w:hAnsi="Times New Roman" w:cs="Times New Roman"/>
          <w:sz w:val="24"/>
          <w:szCs w:val="24"/>
          <w:lang w:val="en-US"/>
        </w:rPr>
        <w:t>срединске</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факторе</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Досадашња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истраживања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указују</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да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су</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пол</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перцепција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ризика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старосна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доб</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брачни</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статус</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ниво</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образовања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економски</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статус</w:t>
      </w:r>
      <w:proofErr w:type="spellEnd"/>
      <w:r w:rsidR="00221F7D" w:rsidRPr="006020DF">
        <w:rPr>
          <w:rFonts w:ascii="Times New Roman" w:hAnsi="Times New Roman" w:cs="Times New Roman"/>
          <w:sz w:val="24"/>
          <w:szCs w:val="24"/>
          <w:lang w:val="en-US"/>
        </w:rPr>
        <w:t xml:space="preserve"> и </w:t>
      </w:r>
      <w:proofErr w:type="spellStart"/>
      <w:r w:rsidR="00221F7D" w:rsidRPr="006020DF">
        <w:rPr>
          <w:rFonts w:ascii="Times New Roman" w:hAnsi="Times New Roman" w:cs="Times New Roman"/>
          <w:sz w:val="24"/>
          <w:szCs w:val="24"/>
          <w:lang w:val="en-US"/>
        </w:rPr>
        <w:t>власништво</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над</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стамбеним</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објектом</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повезани</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са</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предузимањем</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превентивних</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мера</w:t>
      </w:r>
      <w:proofErr w:type="spellEnd"/>
      <w:r w:rsidR="00221F7D" w:rsidRPr="006020DF">
        <w:rPr>
          <w:rFonts w:ascii="Times New Roman" w:hAnsi="Times New Roman" w:cs="Times New Roman"/>
          <w:sz w:val="24"/>
          <w:szCs w:val="24"/>
          <w:lang w:val="en-US"/>
        </w:rPr>
        <w:t xml:space="preserve"> у </w:t>
      </w:r>
      <w:proofErr w:type="spellStart"/>
      <w:r w:rsidR="00221F7D" w:rsidRPr="006020DF">
        <w:rPr>
          <w:rFonts w:ascii="Times New Roman" w:hAnsi="Times New Roman" w:cs="Times New Roman"/>
          <w:sz w:val="24"/>
          <w:szCs w:val="24"/>
          <w:lang w:val="en-US"/>
        </w:rPr>
        <w:t>случају</w:t>
      </w:r>
      <w:proofErr w:type="spellEnd"/>
      <w:r w:rsidR="00221F7D" w:rsidRPr="006020DF">
        <w:rPr>
          <w:rFonts w:ascii="Times New Roman" w:hAnsi="Times New Roman" w:cs="Times New Roman"/>
          <w:sz w:val="24"/>
          <w:szCs w:val="24"/>
          <w:lang w:val="en-US"/>
        </w:rPr>
        <w:t xml:space="preserve"> </w:t>
      </w:r>
      <w:proofErr w:type="spellStart"/>
      <w:r w:rsidR="00221F7D" w:rsidRPr="006020DF">
        <w:rPr>
          <w:rFonts w:ascii="Times New Roman" w:hAnsi="Times New Roman" w:cs="Times New Roman"/>
          <w:sz w:val="24"/>
          <w:szCs w:val="24"/>
          <w:lang w:val="en-US"/>
        </w:rPr>
        <w:t>земљотреса</w:t>
      </w:r>
      <w:proofErr w:type="spellEnd"/>
      <w:r w:rsidR="00221F7D" w:rsidRPr="006020DF">
        <w:rPr>
          <w:rFonts w:ascii="Times New Roman" w:hAnsi="Times New Roman" w:cs="Times New Roman"/>
          <w:sz w:val="24"/>
          <w:szCs w:val="24"/>
          <w:lang w:val="en-US"/>
        </w:rPr>
        <w:t>.</w:t>
      </w:r>
      <w:r w:rsidR="00221F7D" w:rsidRPr="006020DF">
        <w:rPr>
          <w:rFonts w:ascii="Times New Roman" w:hAnsi="Times New Roman" w:cs="Times New Roman"/>
          <w:b/>
          <w:i/>
          <w:sz w:val="24"/>
          <w:szCs w:val="24"/>
          <w:lang w:val="en-US"/>
        </w:rPr>
        <w:t xml:space="preserve"> </w:t>
      </w:r>
    </w:p>
    <w:p w14:paraId="1D87CE3C" w14:textId="77777777" w:rsidR="00221F7D" w:rsidRPr="006020DF" w:rsidRDefault="00221F7D" w:rsidP="00221F7D">
      <w:pPr>
        <w:spacing w:after="0" w:line="240" w:lineRule="auto"/>
        <w:jc w:val="both"/>
        <w:rPr>
          <w:rFonts w:ascii="Times New Roman" w:hAnsi="Times New Roman" w:cs="Times New Roman"/>
          <w:b/>
          <w:i/>
          <w:sz w:val="24"/>
          <w:szCs w:val="24"/>
          <w:lang w:val="en-US"/>
        </w:rPr>
      </w:pPr>
    </w:p>
    <w:p w14:paraId="2C4AEFE6" w14:textId="39EB9389" w:rsidR="009D1191" w:rsidRPr="006020DF" w:rsidRDefault="009D1191" w:rsidP="00221F7D">
      <w:pPr>
        <w:spacing w:after="0" w:line="240" w:lineRule="auto"/>
        <w:ind w:firstLine="567"/>
        <w:jc w:val="both"/>
        <w:rPr>
          <w:rFonts w:ascii="Times New Roman" w:hAnsi="Times New Roman" w:cs="Times New Roman"/>
          <w:bCs/>
          <w:iCs/>
          <w:sz w:val="24"/>
          <w:szCs w:val="24"/>
          <w:lang w:val="en-US"/>
        </w:rPr>
      </w:pPr>
      <w:proofErr w:type="spellStart"/>
      <w:r w:rsidRPr="006020DF">
        <w:rPr>
          <w:rFonts w:ascii="Times New Roman" w:hAnsi="Times New Roman" w:cs="Times New Roman"/>
          <w:b/>
          <w:i/>
          <w:sz w:val="24"/>
          <w:szCs w:val="24"/>
          <w:lang w:val="en-US"/>
        </w:rPr>
        <w:t>Кључне</w:t>
      </w:r>
      <w:proofErr w:type="spellEnd"/>
      <w:r w:rsidRPr="006020DF">
        <w:rPr>
          <w:rFonts w:ascii="Times New Roman" w:hAnsi="Times New Roman" w:cs="Times New Roman"/>
          <w:b/>
          <w:i/>
          <w:sz w:val="24"/>
          <w:szCs w:val="24"/>
          <w:lang w:val="en-US"/>
        </w:rPr>
        <w:t xml:space="preserve"> </w:t>
      </w:r>
      <w:proofErr w:type="spellStart"/>
      <w:r w:rsidRPr="006020DF">
        <w:rPr>
          <w:rFonts w:ascii="Times New Roman" w:hAnsi="Times New Roman" w:cs="Times New Roman"/>
          <w:b/>
          <w:i/>
          <w:sz w:val="24"/>
          <w:szCs w:val="24"/>
          <w:lang w:val="en-US"/>
        </w:rPr>
        <w:t>речи</w:t>
      </w:r>
      <w:proofErr w:type="spellEnd"/>
      <w:r w:rsidRPr="006020DF">
        <w:rPr>
          <w:rFonts w:ascii="Times New Roman" w:hAnsi="Times New Roman" w:cs="Times New Roman"/>
          <w:b/>
          <w:i/>
          <w:sz w:val="24"/>
          <w:szCs w:val="24"/>
          <w:lang w:val="en-US"/>
        </w:rPr>
        <w:t xml:space="preserve">: </w:t>
      </w:r>
      <w:proofErr w:type="spellStart"/>
      <w:r w:rsidRPr="006020DF">
        <w:rPr>
          <w:rFonts w:ascii="Times New Roman" w:hAnsi="Times New Roman" w:cs="Times New Roman"/>
          <w:bCs/>
          <w:iCs/>
          <w:sz w:val="24"/>
          <w:szCs w:val="24"/>
          <w:lang w:val="en-US"/>
        </w:rPr>
        <w:t>управљање</w:t>
      </w:r>
      <w:proofErr w:type="spellEnd"/>
      <w:r w:rsidRPr="006020DF">
        <w:rPr>
          <w:rFonts w:ascii="Times New Roman" w:hAnsi="Times New Roman" w:cs="Times New Roman"/>
          <w:bCs/>
          <w:iCs/>
          <w:sz w:val="24"/>
          <w:szCs w:val="24"/>
          <w:lang w:val="en-US"/>
        </w:rPr>
        <w:t xml:space="preserve"> </w:t>
      </w:r>
      <w:proofErr w:type="spellStart"/>
      <w:r w:rsidRPr="006020DF">
        <w:rPr>
          <w:rFonts w:ascii="Times New Roman" w:hAnsi="Times New Roman" w:cs="Times New Roman"/>
          <w:bCs/>
          <w:iCs/>
          <w:sz w:val="24"/>
          <w:szCs w:val="24"/>
          <w:lang w:val="en-US"/>
        </w:rPr>
        <w:t>ризицима</w:t>
      </w:r>
      <w:proofErr w:type="spellEnd"/>
      <w:r w:rsidRPr="006020DF">
        <w:rPr>
          <w:rFonts w:ascii="Times New Roman" w:hAnsi="Times New Roman" w:cs="Times New Roman"/>
          <w:bCs/>
          <w:iCs/>
          <w:sz w:val="24"/>
          <w:szCs w:val="24"/>
          <w:lang w:val="en-US"/>
        </w:rPr>
        <w:t xml:space="preserve">, </w:t>
      </w:r>
      <w:proofErr w:type="spellStart"/>
      <w:r w:rsidRPr="006020DF">
        <w:rPr>
          <w:rFonts w:ascii="Times New Roman" w:hAnsi="Times New Roman" w:cs="Times New Roman"/>
          <w:bCs/>
          <w:iCs/>
          <w:sz w:val="24"/>
          <w:szCs w:val="24"/>
          <w:lang w:val="en-US"/>
        </w:rPr>
        <w:t>теорија</w:t>
      </w:r>
      <w:proofErr w:type="spellEnd"/>
      <w:r w:rsidRPr="006020DF">
        <w:rPr>
          <w:rFonts w:ascii="Times New Roman" w:hAnsi="Times New Roman" w:cs="Times New Roman"/>
          <w:bCs/>
          <w:iCs/>
          <w:sz w:val="24"/>
          <w:szCs w:val="24"/>
          <w:lang w:val="en-US"/>
        </w:rPr>
        <w:t xml:space="preserve"> </w:t>
      </w:r>
      <w:proofErr w:type="spellStart"/>
      <w:r w:rsidRPr="006020DF">
        <w:rPr>
          <w:rFonts w:ascii="Times New Roman" w:hAnsi="Times New Roman" w:cs="Times New Roman"/>
          <w:bCs/>
          <w:iCs/>
          <w:sz w:val="24"/>
          <w:szCs w:val="24"/>
          <w:lang w:val="en-US"/>
        </w:rPr>
        <w:t>планираног</w:t>
      </w:r>
      <w:proofErr w:type="spellEnd"/>
      <w:r w:rsidRPr="006020DF">
        <w:rPr>
          <w:rFonts w:ascii="Times New Roman" w:hAnsi="Times New Roman" w:cs="Times New Roman"/>
          <w:bCs/>
          <w:iCs/>
          <w:sz w:val="24"/>
          <w:szCs w:val="24"/>
          <w:lang w:val="en-US"/>
        </w:rPr>
        <w:t xml:space="preserve"> </w:t>
      </w:r>
      <w:proofErr w:type="spellStart"/>
      <w:r w:rsidRPr="006020DF">
        <w:rPr>
          <w:rFonts w:ascii="Times New Roman" w:hAnsi="Times New Roman" w:cs="Times New Roman"/>
          <w:bCs/>
          <w:iCs/>
          <w:sz w:val="24"/>
          <w:szCs w:val="24"/>
          <w:lang w:val="en-US"/>
        </w:rPr>
        <w:t>понашања</w:t>
      </w:r>
      <w:proofErr w:type="spellEnd"/>
      <w:r w:rsidRPr="006020DF">
        <w:rPr>
          <w:rFonts w:ascii="Times New Roman" w:hAnsi="Times New Roman" w:cs="Times New Roman"/>
          <w:bCs/>
          <w:iCs/>
          <w:sz w:val="24"/>
          <w:szCs w:val="24"/>
          <w:lang w:val="en-US"/>
        </w:rPr>
        <w:t xml:space="preserve">, </w:t>
      </w:r>
      <w:proofErr w:type="spellStart"/>
      <w:r w:rsidRPr="006020DF">
        <w:rPr>
          <w:rFonts w:ascii="Times New Roman" w:hAnsi="Times New Roman" w:cs="Times New Roman"/>
          <w:bCs/>
          <w:iCs/>
          <w:sz w:val="24"/>
          <w:szCs w:val="24"/>
          <w:lang w:val="en-US"/>
        </w:rPr>
        <w:t>природне</w:t>
      </w:r>
      <w:proofErr w:type="spellEnd"/>
      <w:r w:rsidRPr="006020DF">
        <w:rPr>
          <w:rFonts w:ascii="Times New Roman" w:hAnsi="Times New Roman" w:cs="Times New Roman"/>
          <w:bCs/>
          <w:iCs/>
          <w:sz w:val="24"/>
          <w:szCs w:val="24"/>
          <w:lang w:val="en-US"/>
        </w:rPr>
        <w:t xml:space="preserve"> </w:t>
      </w:r>
      <w:proofErr w:type="spellStart"/>
      <w:r w:rsidRPr="006020DF">
        <w:rPr>
          <w:rFonts w:ascii="Times New Roman" w:hAnsi="Times New Roman" w:cs="Times New Roman"/>
          <w:bCs/>
          <w:iCs/>
          <w:sz w:val="24"/>
          <w:szCs w:val="24"/>
          <w:lang w:val="en-US"/>
        </w:rPr>
        <w:t>катастрофе</w:t>
      </w:r>
      <w:proofErr w:type="spellEnd"/>
      <w:r w:rsidRPr="006020DF">
        <w:rPr>
          <w:rFonts w:ascii="Times New Roman" w:hAnsi="Times New Roman" w:cs="Times New Roman"/>
          <w:bCs/>
          <w:iCs/>
          <w:sz w:val="24"/>
          <w:szCs w:val="24"/>
          <w:lang w:val="en-US"/>
        </w:rPr>
        <w:t xml:space="preserve">, </w:t>
      </w:r>
      <w:proofErr w:type="spellStart"/>
      <w:r w:rsidRPr="006020DF">
        <w:rPr>
          <w:rFonts w:ascii="Times New Roman" w:hAnsi="Times New Roman" w:cs="Times New Roman"/>
          <w:bCs/>
          <w:iCs/>
          <w:sz w:val="24"/>
          <w:szCs w:val="24"/>
          <w:lang w:val="en-US"/>
        </w:rPr>
        <w:t>земљотреси</w:t>
      </w:r>
      <w:proofErr w:type="spellEnd"/>
      <w:r w:rsidRPr="006020DF">
        <w:rPr>
          <w:rFonts w:ascii="Times New Roman" w:hAnsi="Times New Roman" w:cs="Times New Roman"/>
          <w:bCs/>
          <w:iCs/>
          <w:sz w:val="24"/>
          <w:szCs w:val="24"/>
          <w:lang w:val="en-US"/>
        </w:rPr>
        <w:t xml:space="preserve">, </w:t>
      </w:r>
      <w:proofErr w:type="spellStart"/>
      <w:r w:rsidRPr="006020DF">
        <w:rPr>
          <w:rFonts w:ascii="Times New Roman" w:hAnsi="Times New Roman" w:cs="Times New Roman"/>
          <w:bCs/>
          <w:iCs/>
          <w:sz w:val="24"/>
          <w:szCs w:val="24"/>
          <w:lang w:val="en-US"/>
        </w:rPr>
        <w:t>припремљеност</w:t>
      </w:r>
      <w:proofErr w:type="spellEnd"/>
    </w:p>
    <w:p w14:paraId="36F0E93A" w14:textId="77777777" w:rsidR="009D1191" w:rsidRPr="006020DF" w:rsidRDefault="009D1191" w:rsidP="009D1191">
      <w:pPr>
        <w:spacing w:after="0" w:line="240" w:lineRule="auto"/>
        <w:ind w:firstLine="567"/>
        <w:jc w:val="both"/>
        <w:rPr>
          <w:rFonts w:ascii="Times New Roman" w:hAnsi="Times New Roman" w:cs="Times New Roman"/>
          <w:bCs/>
          <w:i/>
          <w:sz w:val="24"/>
          <w:szCs w:val="24"/>
          <w:lang w:val="en-US"/>
        </w:rPr>
      </w:pPr>
    </w:p>
    <w:p w14:paraId="04429036" w14:textId="77777777" w:rsidR="009D1191" w:rsidRDefault="009D1191" w:rsidP="00870D48">
      <w:pPr>
        <w:spacing w:after="0" w:line="240" w:lineRule="auto"/>
        <w:ind w:firstLine="567"/>
        <w:jc w:val="both"/>
        <w:rPr>
          <w:rFonts w:ascii="Times New Roman" w:hAnsi="Times New Roman" w:cs="Times New Roman"/>
          <w:bCs/>
          <w:i/>
          <w:sz w:val="24"/>
          <w:szCs w:val="24"/>
          <w:lang w:val="sr-Cyrl-RS"/>
        </w:rPr>
      </w:pPr>
    </w:p>
    <w:p w14:paraId="304B252F" w14:textId="77777777" w:rsidR="00CF3423" w:rsidRDefault="00CF3423" w:rsidP="00870D48">
      <w:pPr>
        <w:spacing w:after="0" w:line="240" w:lineRule="auto"/>
        <w:ind w:firstLine="567"/>
        <w:jc w:val="both"/>
        <w:rPr>
          <w:rFonts w:ascii="Times New Roman" w:hAnsi="Times New Roman" w:cs="Times New Roman"/>
          <w:bCs/>
          <w:i/>
          <w:sz w:val="24"/>
          <w:szCs w:val="24"/>
          <w:lang w:val="sr-Cyrl-RS"/>
        </w:rPr>
      </w:pPr>
    </w:p>
    <w:p w14:paraId="6548070A" w14:textId="77777777" w:rsidR="00CF3423" w:rsidRPr="00CF3423" w:rsidRDefault="00CF3423" w:rsidP="00870D48">
      <w:pPr>
        <w:spacing w:after="0" w:line="240" w:lineRule="auto"/>
        <w:ind w:firstLine="567"/>
        <w:jc w:val="both"/>
        <w:rPr>
          <w:rFonts w:ascii="Times New Roman" w:hAnsi="Times New Roman" w:cs="Times New Roman"/>
          <w:bCs/>
          <w:i/>
          <w:sz w:val="24"/>
          <w:szCs w:val="24"/>
          <w:lang w:val="sr-Cyrl-RS"/>
        </w:rPr>
      </w:pPr>
    </w:p>
    <w:p w14:paraId="3EE920B3" w14:textId="26BF8FD8" w:rsidR="00D21419" w:rsidRPr="006020DF" w:rsidRDefault="00A549B9" w:rsidP="00A549B9">
      <w:pPr>
        <w:spacing w:after="0" w:line="240" w:lineRule="auto"/>
        <w:ind w:firstLine="567"/>
        <w:jc w:val="center"/>
        <w:rPr>
          <w:rFonts w:ascii="Times New Roman" w:hAnsi="Times New Roman" w:cs="Times New Roman"/>
          <w:bCs/>
          <w:sz w:val="24"/>
          <w:szCs w:val="24"/>
          <w:lang w:val="en-US"/>
        </w:rPr>
      </w:pPr>
      <w:r w:rsidRPr="006020DF">
        <w:rPr>
          <w:rFonts w:ascii="Times New Roman" w:hAnsi="Times New Roman" w:cs="Times New Roman"/>
          <w:bCs/>
          <w:sz w:val="24"/>
          <w:szCs w:val="24"/>
          <w:lang w:val="en-US"/>
        </w:rPr>
        <w:lastRenderedPageBreak/>
        <w:t>INTRODUCTION</w:t>
      </w:r>
    </w:p>
    <w:p w14:paraId="0953802A" w14:textId="77777777" w:rsidR="005F6DC0" w:rsidRPr="006020DF" w:rsidRDefault="005F6DC0" w:rsidP="00870D48">
      <w:pPr>
        <w:spacing w:after="0" w:line="240" w:lineRule="auto"/>
        <w:ind w:firstLine="567"/>
        <w:jc w:val="both"/>
        <w:rPr>
          <w:rFonts w:ascii="Times New Roman" w:hAnsi="Times New Roman" w:cs="Times New Roman"/>
          <w:bCs/>
          <w:sz w:val="24"/>
          <w:szCs w:val="24"/>
          <w:lang w:val="en-US"/>
        </w:rPr>
      </w:pPr>
    </w:p>
    <w:p w14:paraId="7A729BDA" w14:textId="04E3532A" w:rsidR="00705126" w:rsidRPr="006020DF" w:rsidRDefault="00A32CDD" w:rsidP="00705126">
      <w:pPr>
        <w:spacing w:after="0" w:line="240" w:lineRule="auto"/>
        <w:ind w:firstLine="567"/>
        <w:jc w:val="both"/>
        <w:rPr>
          <w:rFonts w:ascii="Times New Roman" w:hAnsi="Times New Roman" w:cs="Times New Roman"/>
          <w:bCs/>
          <w:sz w:val="24"/>
          <w:szCs w:val="24"/>
          <w:lang w:val="en-US"/>
        </w:rPr>
      </w:pPr>
      <w:r w:rsidRPr="006020DF">
        <w:rPr>
          <w:rFonts w:ascii="Times New Roman" w:hAnsi="Times New Roman" w:cs="Times New Roman"/>
          <w:bCs/>
          <w:sz w:val="24"/>
          <w:szCs w:val="24"/>
          <w:lang w:val="en-US"/>
        </w:rPr>
        <w:t>Earthquakes represent one of the most severe natural hazards, characterized by sudden, abrupt, and intense ground shaking that can last for several minutes</w:t>
      </w:r>
      <w:r w:rsidR="00705126" w:rsidRPr="006020DF">
        <w:rPr>
          <w:rFonts w:ascii="Times New Roman" w:hAnsi="Times New Roman" w:cs="Times New Roman"/>
          <w:bCs/>
          <w:sz w:val="24"/>
          <w:szCs w:val="24"/>
          <w:lang w:val="en-US"/>
        </w:rPr>
        <w:t xml:space="preserve"> (</w:t>
      </w:r>
      <w:proofErr w:type="spellStart"/>
      <w:r w:rsidR="00705126" w:rsidRPr="006020DF">
        <w:rPr>
          <w:rFonts w:ascii="Times New Roman" w:hAnsi="Times New Roman" w:cs="Times New Roman"/>
          <w:bCs/>
          <w:sz w:val="24"/>
          <w:szCs w:val="24"/>
          <w:lang w:val="en-US"/>
        </w:rPr>
        <w:t>Filipović</w:t>
      </w:r>
      <w:proofErr w:type="spellEnd"/>
      <w:r w:rsidR="00705126" w:rsidRPr="006020DF">
        <w:rPr>
          <w:rFonts w:ascii="Times New Roman" w:hAnsi="Times New Roman" w:cs="Times New Roman"/>
          <w:bCs/>
          <w:sz w:val="24"/>
          <w:szCs w:val="24"/>
          <w:lang w:val="en-US"/>
        </w:rPr>
        <w:t xml:space="preserve">, 2017). During their duration, earthquakes may cause the collapse of buildings, structures, and bridges, endanger critical infrastructure systems, and consequently threaten large numbers of human lives. </w:t>
      </w:r>
      <w:r w:rsidR="004719D4" w:rsidRPr="006020DF">
        <w:rPr>
          <w:rFonts w:ascii="Times New Roman" w:hAnsi="Times New Roman" w:cs="Times New Roman"/>
          <w:bCs/>
          <w:sz w:val="24"/>
          <w:szCs w:val="24"/>
          <w:lang w:val="en-US"/>
        </w:rPr>
        <w:t xml:space="preserve">Urbanization and industrialization lead to natural disasters triggered by earthquakes that progressively threaten individuals and their property </w:t>
      </w:r>
      <w:r w:rsidR="00705126" w:rsidRPr="006020DF">
        <w:rPr>
          <w:rFonts w:ascii="Times New Roman" w:hAnsi="Times New Roman" w:cs="Times New Roman"/>
          <w:bCs/>
          <w:sz w:val="24"/>
          <w:szCs w:val="24"/>
          <w:lang w:val="en-US"/>
        </w:rPr>
        <w:t>(</w:t>
      </w:r>
      <w:proofErr w:type="spellStart"/>
      <w:r w:rsidR="00705126" w:rsidRPr="006020DF">
        <w:rPr>
          <w:rFonts w:ascii="Times New Roman" w:hAnsi="Times New Roman" w:cs="Times New Roman"/>
          <w:bCs/>
          <w:sz w:val="24"/>
          <w:szCs w:val="24"/>
          <w:lang w:val="en-US"/>
        </w:rPr>
        <w:t>Cvetković</w:t>
      </w:r>
      <w:proofErr w:type="spellEnd"/>
      <w:r w:rsidR="00705126" w:rsidRPr="006020DF">
        <w:rPr>
          <w:rFonts w:ascii="Times New Roman" w:hAnsi="Times New Roman" w:cs="Times New Roman"/>
          <w:bCs/>
          <w:sz w:val="24"/>
          <w:szCs w:val="24"/>
          <w:lang w:val="en-US"/>
        </w:rPr>
        <w:t xml:space="preserve"> et al., 2019; </w:t>
      </w:r>
      <w:proofErr w:type="spellStart"/>
      <w:r w:rsidR="00705126" w:rsidRPr="006020DF">
        <w:rPr>
          <w:rFonts w:ascii="Times New Roman" w:hAnsi="Times New Roman" w:cs="Times New Roman"/>
          <w:bCs/>
          <w:sz w:val="24"/>
          <w:szCs w:val="24"/>
          <w:lang w:val="en-US"/>
        </w:rPr>
        <w:t>Cvetković</w:t>
      </w:r>
      <w:proofErr w:type="spellEnd"/>
      <w:r w:rsidR="00705126" w:rsidRPr="006020DF">
        <w:rPr>
          <w:rFonts w:ascii="Times New Roman" w:hAnsi="Times New Roman" w:cs="Times New Roman"/>
          <w:bCs/>
          <w:sz w:val="24"/>
          <w:szCs w:val="24"/>
          <w:lang w:val="en-US"/>
        </w:rPr>
        <w:t xml:space="preserve"> &amp; </w:t>
      </w:r>
      <w:proofErr w:type="spellStart"/>
      <w:r w:rsidR="00705126" w:rsidRPr="006020DF">
        <w:rPr>
          <w:rFonts w:ascii="Times New Roman" w:hAnsi="Times New Roman" w:cs="Times New Roman"/>
          <w:bCs/>
          <w:sz w:val="24"/>
          <w:szCs w:val="24"/>
          <w:lang w:val="en-US"/>
        </w:rPr>
        <w:t>Filipović</w:t>
      </w:r>
      <w:proofErr w:type="spellEnd"/>
      <w:r w:rsidR="00705126" w:rsidRPr="006020DF">
        <w:rPr>
          <w:rFonts w:ascii="Times New Roman" w:hAnsi="Times New Roman" w:cs="Times New Roman"/>
          <w:bCs/>
          <w:sz w:val="24"/>
          <w:szCs w:val="24"/>
          <w:lang w:val="en-US"/>
        </w:rPr>
        <w:t>, 2019). Each year, thousands of earthquakes occur worldwide, and their timing and intensity remain unpredictable.</w:t>
      </w:r>
    </w:p>
    <w:p w14:paraId="19D1E532" w14:textId="174F68EB" w:rsidR="00705126" w:rsidRPr="006020DF" w:rsidRDefault="00705126" w:rsidP="00705126">
      <w:pPr>
        <w:spacing w:after="0" w:line="240" w:lineRule="auto"/>
        <w:ind w:firstLine="567"/>
        <w:jc w:val="both"/>
        <w:rPr>
          <w:rFonts w:ascii="Times New Roman" w:hAnsi="Times New Roman" w:cs="Times New Roman"/>
          <w:bCs/>
          <w:sz w:val="24"/>
          <w:szCs w:val="24"/>
          <w:lang w:val="en-US"/>
        </w:rPr>
      </w:pPr>
      <w:r w:rsidRPr="006020DF">
        <w:rPr>
          <w:rFonts w:ascii="Times New Roman" w:hAnsi="Times New Roman" w:cs="Times New Roman"/>
          <w:bCs/>
          <w:sz w:val="24"/>
          <w:szCs w:val="24"/>
          <w:lang w:val="en-US"/>
        </w:rPr>
        <w:t xml:space="preserve">Moreover, earthquakes can act as triggers for </w:t>
      </w:r>
      <w:r w:rsidR="00132364" w:rsidRPr="006020DF">
        <w:rPr>
          <w:rFonts w:ascii="Times New Roman" w:hAnsi="Times New Roman" w:cs="Times New Roman"/>
          <w:bCs/>
          <w:sz w:val="24"/>
          <w:szCs w:val="24"/>
          <w:lang w:val="en-US"/>
        </w:rPr>
        <w:t>secondary</w:t>
      </w:r>
      <w:r w:rsidRPr="006020DF">
        <w:rPr>
          <w:rFonts w:ascii="Times New Roman" w:hAnsi="Times New Roman" w:cs="Times New Roman"/>
          <w:bCs/>
          <w:sz w:val="24"/>
          <w:szCs w:val="24"/>
          <w:lang w:val="en-US"/>
        </w:rPr>
        <w:t xml:space="preserve"> natural disasters, </w:t>
      </w:r>
      <w:r w:rsidR="00132364" w:rsidRPr="006020DF">
        <w:rPr>
          <w:rFonts w:ascii="Times New Roman" w:hAnsi="Times New Roman" w:cs="Times New Roman"/>
          <w:bCs/>
          <w:sz w:val="24"/>
          <w:szCs w:val="24"/>
          <w:lang w:val="en-US"/>
        </w:rPr>
        <w:t>including</w:t>
      </w:r>
      <w:r w:rsidRPr="006020DF">
        <w:rPr>
          <w:rFonts w:ascii="Times New Roman" w:hAnsi="Times New Roman" w:cs="Times New Roman"/>
          <w:bCs/>
          <w:sz w:val="24"/>
          <w:szCs w:val="24"/>
          <w:lang w:val="en-US"/>
        </w:rPr>
        <w:t xml:space="preserve"> landslides, tsunamis, volcanic eruptions, and others (Legrand, 2022; Lin et al., 2006). </w:t>
      </w:r>
      <w:r w:rsidR="004719D4" w:rsidRPr="006020DF">
        <w:rPr>
          <w:rFonts w:ascii="Times New Roman" w:hAnsi="Times New Roman" w:cs="Times New Roman"/>
          <w:bCs/>
          <w:sz w:val="24"/>
          <w:szCs w:val="24"/>
          <w:lang w:val="en-US"/>
        </w:rPr>
        <w:t xml:space="preserve">The two catastrophic earthquakes </w:t>
      </w:r>
      <w:r w:rsidR="007C681E" w:rsidRPr="006020DF">
        <w:rPr>
          <w:rFonts w:ascii="Times New Roman" w:hAnsi="Times New Roman" w:cs="Times New Roman"/>
          <w:bCs/>
          <w:sz w:val="24"/>
          <w:szCs w:val="24"/>
          <w:lang w:val="en-US"/>
        </w:rPr>
        <w:t>in</w:t>
      </w:r>
      <w:r w:rsidR="004719D4" w:rsidRPr="006020DF">
        <w:rPr>
          <w:rFonts w:ascii="Times New Roman" w:hAnsi="Times New Roman" w:cs="Times New Roman"/>
          <w:bCs/>
          <w:sz w:val="24"/>
          <w:szCs w:val="24"/>
          <w:lang w:val="en-US"/>
        </w:rPr>
        <w:t xml:space="preserve"> southeastern Türkiye and northern Syria that occurred during February 2023 caused several cities to be destroyed and killed over 50,000 people, while approximately 26 million people in the affected area </w:t>
      </w:r>
      <w:proofErr w:type="gramStart"/>
      <w:r w:rsidR="004719D4" w:rsidRPr="006020DF">
        <w:rPr>
          <w:rFonts w:ascii="Times New Roman" w:hAnsi="Times New Roman" w:cs="Times New Roman"/>
          <w:bCs/>
          <w:sz w:val="24"/>
          <w:szCs w:val="24"/>
          <w:lang w:val="en-US"/>
        </w:rPr>
        <w:t>were in need of</w:t>
      </w:r>
      <w:proofErr w:type="gramEnd"/>
      <w:r w:rsidR="004719D4" w:rsidRPr="006020DF">
        <w:rPr>
          <w:rFonts w:ascii="Times New Roman" w:hAnsi="Times New Roman" w:cs="Times New Roman"/>
          <w:bCs/>
          <w:sz w:val="24"/>
          <w:szCs w:val="24"/>
          <w:lang w:val="en-US"/>
        </w:rPr>
        <w:t xml:space="preserve"> humanitarian assistance. The extremely high number of casualties and severe destructive consequences are explained not only by the magnitude of earthquakes (the listed magnitudes of 7.8 and 7.6 were classified as “major” on the Richter scale), but also by the timing involved and the (lack of) seismic resistance of buildings (BBC, 2023).</w:t>
      </w:r>
    </w:p>
    <w:p w14:paraId="0F1FF6B8" w14:textId="3C5A79C2" w:rsidR="004719D4" w:rsidRPr="006020DF" w:rsidRDefault="00705126" w:rsidP="005C709D">
      <w:pPr>
        <w:spacing w:after="0" w:line="240" w:lineRule="auto"/>
        <w:ind w:firstLine="567"/>
        <w:jc w:val="both"/>
        <w:rPr>
          <w:rFonts w:ascii="Times New Roman" w:hAnsi="Times New Roman" w:cs="Times New Roman"/>
          <w:bCs/>
          <w:sz w:val="24"/>
          <w:szCs w:val="24"/>
          <w:lang w:val="en-US"/>
        </w:rPr>
      </w:pPr>
      <w:r w:rsidRPr="006020DF">
        <w:rPr>
          <w:rFonts w:ascii="Times New Roman" w:hAnsi="Times New Roman" w:cs="Times New Roman"/>
          <w:bCs/>
          <w:sz w:val="24"/>
          <w:szCs w:val="24"/>
          <w:lang w:val="en-US"/>
        </w:rPr>
        <w:t>In essence, the destructive consequences of earthquakes are the result of both the intensity of the ground motion and the proximity of exposed communities, as well as the lack of preventive mitigation measures and adaptive management aimed at protecting people and property (</w:t>
      </w:r>
      <w:proofErr w:type="spellStart"/>
      <w:r w:rsidRPr="006020DF">
        <w:rPr>
          <w:rFonts w:ascii="Times New Roman" w:hAnsi="Times New Roman" w:cs="Times New Roman"/>
          <w:bCs/>
          <w:sz w:val="24"/>
          <w:szCs w:val="24"/>
          <w:lang w:val="en-US"/>
        </w:rPr>
        <w:t>Cvetković</w:t>
      </w:r>
      <w:proofErr w:type="spellEnd"/>
      <w:r w:rsidRPr="006020DF">
        <w:rPr>
          <w:rFonts w:ascii="Times New Roman" w:hAnsi="Times New Roman" w:cs="Times New Roman"/>
          <w:bCs/>
          <w:sz w:val="24"/>
          <w:szCs w:val="24"/>
          <w:lang w:val="en-US"/>
        </w:rPr>
        <w:t xml:space="preserve"> &amp; </w:t>
      </w:r>
      <w:proofErr w:type="spellStart"/>
      <w:r w:rsidRPr="006020DF">
        <w:rPr>
          <w:rFonts w:ascii="Times New Roman" w:hAnsi="Times New Roman" w:cs="Times New Roman"/>
          <w:bCs/>
          <w:sz w:val="24"/>
          <w:szCs w:val="24"/>
          <w:lang w:val="en-US"/>
        </w:rPr>
        <w:t>Filipović</w:t>
      </w:r>
      <w:proofErr w:type="spellEnd"/>
      <w:r w:rsidRPr="006020DF">
        <w:rPr>
          <w:rFonts w:ascii="Times New Roman" w:hAnsi="Times New Roman" w:cs="Times New Roman"/>
          <w:bCs/>
          <w:sz w:val="24"/>
          <w:szCs w:val="24"/>
          <w:lang w:val="en-US"/>
        </w:rPr>
        <w:t xml:space="preserve">, 2017:185). </w:t>
      </w:r>
      <w:r w:rsidR="004719D4" w:rsidRPr="006020DF">
        <w:rPr>
          <w:rFonts w:ascii="Times New Roman" w:hAnsi="Times New Roman" w:cs="Times New Roman"/>
          <w:bCs/>
          <w:sz w:val="24"/>
          <w:szCs w:val="24"/>
          <w:lang w:val="en-US"/>
        </w:rPr>
        <w:t>Basically, the damaging effects of earthquakes are due to the degree of ground motion, and the closeness of exposed communities, as well as a shortage of preventive mitigation measures and adaptive management to protect people and property (</w:t>
      </w:r>
      <w:proofErr w:type="spellStart"/>
      <w:r w:rsidR="004719D4" w:rsidRPr="006020DF">
        <w:rPr>
          <w:rFonts w:ascii="Times New Roman" w:hAnsi="Times New Roman" w:cs="Times New Roman"/>
          <w:bCs/>
          <w:sz w:val="24"/>
          <w:szCs w:val="24"/>
          <w:lang w:val="en-US"/>
        </w:rPr>
        <w:t>Cvetković</w:t>
      </w:r>
      <w:proofErr w:type="spellEnd"/>
      <w:r w:rsidR="004719D4" w:rsidRPr="006020DF">
        <w:rPr>
          <w:rFonts w:ascii="Times New Roman" w:hAnsi="Times New Roman" w:cs="Times New Roman"/>
          <w:bCs/>
          <w:sz w:val="24"/>
          <w:szCs w:val="24"/>
          <w:lang w:val="en-US"/>
        </w:rPr>
        <w:t xml:space="preserve"> &amp; </w:t>
      </w:r>
      <w:proofErr w:type="spellStart"/>
      <w:r w:rsidR="004719D4" w:rsidRPr="006020DF">
        <w:rPr>
          <w:rFonts w:ascii="Times New Roman" w:hAnsi="Times New Roman" w:cs="Times New Roman"/>
          <w:bCs/>
          <w:sz w:val="24"/>
          <w:szCs w:val="24"/>
          <w:lang w:val="en-US"/>
        </w:rPr>
        <w:t>Filipović</w:t>
      </w:r>
      <w:proofErr w:type="spellEnd"/>
      <w:r w:rsidR="004719D4" w:rsidRPr="006020DF">
        <w:rPr>
          <w:rFonts w:ascii="Times New Roman" w:hAnsi="Times New Roman" w:cs="Times New Roman"/>
          <w:bCs/>
          <w:sz w:val="24"/>
          <w:szCs w:val="24"/>
          <w:lang w:val="en-US"/>
        </w:rPr>
        <w:t xml:space="preserve">, 2017:185). The more densely populated an area is, the more likely an earthquake-caused natural disaster </w:t>
      </w:r>
      <w:proofErr w:type="gramStart"/>
      <w:r w:rsidR="004719D4" w:rsidRPr="006020DF">
        <w:rPr>
          <w:rFonts w:ascii="Times New Roman" w:hAnsi="Times New Roman" w:cs="Times New Roman"/>
          <w:bCs/>
          <w:sz w:val="24"/>
          <w:szCs w:val="24"/>
          <w:lang w:val="en-US"/>
        </w:rPr>
        <w:t>is</w:t>
      </w:r>
      <w:proofErr w:type="gramEnd"/>
      <w:r w:rsidR="004719D4" w:rsidRPr="006020DF">
        <w:rPr>
          <w:rFonts w:ascii="Times New Roman" w:hAnsi="Times New Roman" w:cs="Times New Roman"/>
          <w:bCs/>
          <w:sz w:val="24"/>
          <w:szCs w:val="24"/>
          <w:lang w:val="en-US"/>
        </w:rPr>
        <w:t xml:space="preserve"> and the more vulnerable buildings and infrastructure systems are (Ibid: 30-34). Governments, local communities, and social organizations are responsible for carrying out actions to promote safety in advance of major earthquakes (</w:t>
      </w:r>
      <w:proofErr w:type="spellStart"/>
      <w:r w:rsidR="004719D4" w:rsidRPr="006020DF">
        <w:rPr>
          <w:rFonts w:ascii="Times New Roman" w:hAnsi="Times New Roman" w:cs="Times New Roman"/>
          <w:bCs/>
          <w:sz w:val="24"/>
          <w:szCs w:val="24"/>
          <w:lang w:val="en-US"/>
        </w:rPr>
        <w:t>Grozdanić</w:t>
      </w:r>
      <w:proofErr w:type="spellEnd"/>
      <w:r w:rsidR="004719D4" w:rsidRPr="006020DF">
        <w:rPr>
          <w:rFonts w:ascii="Times New Roman" w:hAnsi="Times New Roman" w:cs="Times New Roman"/>
          <w:bCs/>
          <w:sz w:val="24"/>
          <w:szCs w:val="24"/>
          <w:lang w:val="en-US"/>
        </w:rPr>
        <w:t xml:space="preserve"> et al., 2024). Even people can limit the damage of earthquake disasters by taking part in education and learning what safety behaviors to follow before and during an earthquake (Becker et al., 2012; Lehman &amp; Taylor, 1987; Turner et al., 1986; </w:t>
      </w:r>
      <w:proofErr w:type="spellStart"/>
      <w:r w:rsidR="004719D4" w:rsidRPr="006020DF">
        <w:rPr>
          <w:rFonts w:ascii="Times New Roman" w:hAnsi="Times New Roman" w:cs="Times New Roman"/>
          <w:bCs/>
          <w:sz w:val="24"/>
          <w:szCs w:val="24"/>
          <w:lang w:val="en-US"/>
        </w:rPr>
        <w:t>Grozdanić</w:t>
      </w:r>
      <w:proofErr w:type="spellEnd"/>
      <w:r w:rsidR="004719D4" w:rsidRPr="006020DF">
        <w:rPr>
          <w:rFonts w:ascii="Times New Roman" w:hAnsi="Times New Roman" w:cs="Times New Roman"/>
          <w:bCs/>
          <w:sz w:val="24"/>
          <w:szCs w:val="24"/>
          <w:lang w:val="en-US"/>
        </w:rPr>
        <w:t xml:space="preserve"> et al., 2024).</w:t>
      </w:r>
    </w:p>
    <w:p w14:paraId="03902B42" w14:textId="745EABD1" w:rsidR="00705126" w:rsidRPr="006020DF" w:rsidRDefault="00705126" w:rsidP="005C709D">
      <w:pPr>
        <w:spacing w:after="0" w:line="240" w:lineRule="auto"/>
        <w:ind w:firstLine="567"/>
        <w:jc w:val="both"/>
        <w:rPr>
          <w:rFonts w:ascii="Times New Roman" w:eastAsia="Times New Roman" w:hAnsi="Times New Roman" w:cs="Times New Roman"/>
          <w:sz w:val="24"/>
          <w:szCs w:val="24"/>
          <w:lang w:val="en-US"/>
        </w:rPr>
      </w:pPr>
      <w:r w:rsidRPr="006020DF">
        <w:rPr>
          <w:rFonts w:ascii="Times New Roman" w:eastAsia="Times New Roman" w:hAnsi="Times New Roman" w:cs="Times New Roman"/>
          <w:sz w:val="24"/>
          <w:szCs w:val="24"/>
          <w:lang w:val="en-US"/>
        </w:rPr>
        <w:t xml:space="preserve">Despite the clear advantages of implementing preparatory and preventive measures, citizens are generally not adequately prepared (Paton et al., 2006; </w:t>
      </w:r>
      <w:proofErr w:type="spellStart"/>
      <w:r w:rsidRPr="006020DF">
        <w:rPr>
          <w:rFonts w:ascii="Times New Roman" w:eastAsia="Times New Roman" w:hAnsi="Times New Roman" w:cs="Times New Roman"/>
          <w:sz w:val="24"/>
          <w:szCs w:val="24"/>
          <w:lang w:val="en-US"/>
        </w:rPr>
        <w:t>Rüstemli</w:t>
      </w:r>
      <w:proofErr w:type="spellEnd"/>
      <w:r w:rsidRPr="006020DF">
        <w:rPr>
          <w:rFonts w:ascii="Times New Roman" w:eastAsia="Times New Roman" w:hAnsi="Times New Roman" w:cs="Times New Roman"/>
          <w:sz w:val="24"/>
          <w:szCs w:val="24"/>
          <w:lang w:val="en-US"/>
        </w:rPr>
        <w:t xml:space="preserve"> &amp; </w:t>
      </w:r>
      <w:proofErr w:type="spellStart"/>
      <w:r w:rsidRPr="006020DF">
        <w:rPr>
          <w:rFonts w:ascii="Times New Roman" w:eastAsia="Times New Roman" w:hAnsi="Times New Roman" w:cs="Times New Roman"/>
          <w:sz w:val="24"/>
          <w:szCs w:val="24"/>
          <w:lang w:val="en-US"/>
        </w:rPr>
        <w:t>Karanci</w:t>
      </w:r>
      <w:proofErr w:type="spellEnd"/>
      <w:r w:rsidRPr="006020DF">
        <w:rPr>
          <w:rFonts w:ascii="Times New Roman" w:eastAsia="Times New Roman" w:hAnsi="Times New Roman" w:cs="Times New Roman"/>
          <w:sz w:val="24"/>
          <w:szCs w:val="24"/>
          <w:lang w:val="en-US"/>
        </w:rPr>
        <w:t xml:space="preserve">, 1999). </w:t>
      </w:r>
      <w:r w:rsidR="003635F7" w:rsidRPr="006020DF">
        <w:rPr>
          <w:rFonts w:ascii="Times New Roman" w:eastAsia="Times New Roman" w:hAnsi="Times New Roman" w:cs="Times New Roman"/>
          <w:sz w:val="24"/>
          <w:szCs w:val="24"/>
          <w:lang w:val="en-US"/>
        </w:rPr>
        <w:t>This raises the question: why levels of preparedness for natural hazards vary among individuals?</w:t>
      </w:r>
      <w:r w:rsidRPr="006020DF">
        <w:rPr>
          <w:rFonts w:ascii="Times New Roman" w:eastAsia="Times New Roman" w:hAnsi="Times New Roman" w:cs="Times New Roman"/>
          <w:sz w:val="24"/>
          <w:szCs w:val="24"/>
          <w:lang w:val="en-US"/>
        </w:rPr>
        <w:t xml:space="preserve"> In other </w:t>
      </w:r>
      <w:r w:rsidR="006D7459" w:rsidRPr="006020DF">
        <w:rPr>
          <w:rFonts w:ascii="Times New Roman" w:eastAsia="Times New Roman" w:hAnsi="Times New Roman" w:cs="Times New Roman"/>
          <w:sz w:val="24"/>
          <w:szCs w:val="24"/>
          <w:lang w:val="en-US"/>
        </w:rPr>
        <w:t>terms</w:t>
      </w:r>
      <w:r w:rsidRPr="006020DF">
        <w:rPr>
          <w:rFonts w:ascii="Times New Roman" w:eastAsia="Times New Roman" w:hAnsi="Times New Roman" w:cs="Times New Roman"/>
          <w:sz w:val="24"/>
          <w:szCs w:val="24"/>
          <w:lang w:val="en-US"/>
        </w:rPr>
        <w:t xml:space="preserve">, </w:t>
      </w:r>
      <w:r w:rsidR="006D7459" w:rsidRPr="006020DF">
        <w:rPr>
          <w:rFonts w:ascii="Times New Roman" w:eastAsia="Times New Roman" w:hAnsi="Times New Roman" w:cs="Times New Roman"/>
          <w:sz w:val="24"/>
          <w:szCs w:val="24"/>
          <w:lang w:val="en-US"/>
        </w:rPr>
        <w:t xml:space="preserve">which factors </w:t>
      </w:r>
      <w:r w:rsidRPr="006020DF">
        <w:rPr>
          <w:rFonts w:ascii="Times New Roman" w:eastAsia="Times New Roman" w:hAnsi="Times New Roman" w:cs="Times New Roman"/>
          <w:sz w:val="24"/>
          <w:szCs w:val="24"/>
          <w:lang w:val="en-US"/>
        </w:rPr>
        <w:t>motivate individuals to take pre</w:t>
      </w:r>
      <w:r w:rsidR="00DA5E6A" w:rsidRPr="006020DF">
        <w:rPr>
          <w:rFonts w:ascii="Times New Roman" w:eastAsia="Times New Roman" w:hAnsi="Times New Roman" w:cs="Times New Roman"/>
          <w:sz w:val="24"/>
          <w:szCs w:val="24"/>
          <w:lang w:val="en-US"/>
        </w:rPr>
        <w:t xml:space="preserve">ventive </w:t>
      </w:r>
      <w:r w:rsidRPr="006020DF">
        <w:rPr>
          <w:rFonts w:ascii="Times New Roman" w:eastAsia="Times New Roman" w:hAnsi="Times New Roman" w:cs="Times New Roman"/>
          <w:sz w:val="24"/>
          <w:szCs w:val="24"/>
          <w:lang w:val="en-US"/>
        </w:rPr>
        <w:t xml:space="preserve">measures to reduce potential damage from hazards? The answers vary depending on the type of hazard and the region under study. </w:t>
      </w:r>
      <w:r w:rsidR="00DA5E6A" w:rsidRPr="006020DF">
        <w:rPr>
          <w:rFonts w:ascii="Times New Roman" w:eastAsia="Times New Roman" w:hAnsi="Times New Roman" w:cs="Times New Roman"/>
          <w:sz w:val="24"/>
          <w:szCs w:val="24"/>
          <w:lang w:val="en-US"/>
        </w:rPr>
        <w:t>Previous</w:t>
      </w:r>
      <w:r w:rsidRPr="006020DF">
        <w:rPr>
          <w:rFonts w:ascii="Times New Roman" w:eastAsia="Times New Roman" w:hAnsi="Times New Roman" w:cs="Times New Roman"/>
          <w:sz w:val="24"/>
          <w:szCs w:val="24"/>
          <w:lang w:val="en-US"/>
        </w:rPr>
        <w:t xml:space="preserve"> </w:t>
      </w:r>
      <w:r w:rsidR="00DA5E6A" w:rsidRPr="006020DF">
        <w:rPr>
          <w:rFonts w:ascii="Times New Roman" w:eastAsia="Times New Roman" w:hAnsi="Times New Roman" w:cs="Times New Roman"/>
          <w:sz w:val="24"/>
          <w:szCs w:val="24"/>
          <w:lang w:val="en-US"/>
        </w:rPr>
        <w:t xml:space="preserve">research </w:t>
      </w:r>
      <w:r w:rsidRPr="006020DF">
        <w:rPr>
          <w:rFonts w:ascii="Times New Roman" w:eastAsia="Times New Roman" w:hAnsi="Times New Roman" w:cs="Times New Roman"/>
          <w:sz w:val="24"/>
          <w:szCs w:val="24"/>
          <w:lang w:val="en-US"/>
        </w:rPr>
        <w:t>finding</w:t>
      </w:r>
      <w:r w:rsidR="00DA5E6A" w:rsidRPr="006020DF">
        <w:rPr>
          <w:rFonts w:ascii="Times New Roman" w:eastAsia="Times New Roman" w:hAnsi="Times New Roman" w:cs="Times New Roman"/>
          <w:sz w:val="24"/>
          <w:szCs w:val="24"/>
          <w:lang w:val="en-US"/>
        </w:rPr>
        <w:t>s</w:t>
      </w:r>
      <w:r w:rsidRPr="006020DF">
        <w:rPr>
          <w:rFonts w:ascii="Times New Roman" w:eastAsia="Times New Roman" w:hAnsi="Times New Roman" w:cs="Times New Roman"/>
          <w:sz w:val="24"/>
          <w:szCs w:val="24"/>
          <w:lang w:val="en-US"/>
        </w:rPr>
        <w:t xml:space="preserve"> indicate that variables such as level of education (</w:t>
      </w:r>
      <w:proofErr w:type="spellStart"/>
      <w:r w:rsidRPr="006020DF">
        <w:rPr>
          <w:rFonts w:ascii="Times New Roman" w:eastAsia="Times New Roman" w:hAnsi="Times New Roman" w:cs="Times New Roman"/>
          <w:sz w:val="24"/>
          <w:szCs w:val="24"/>
          <w:lang w:val="en-US"/>
        </w:rPr>
        <w:t>Tekeli‐Yeşil</w:t>
      </w:r>
      <w:proofErr w:type="spellEnd"/>
      <w:r w:rsidRPr="006020DF">
        <w:rPr>
          <w:rFonts w:ascii="Times New Roman" w:eastAsia="Times New Roman" w:hAnsi="Times New Roman" w:cs="Times New Roman"/>
          <w:sz w:val="24"/>
          <w:szCs w:val="24"/>
          <w:lang w:val="en-US"/>
        </w:rPr>
        <w:t xml:space="preserve"> et al., 2010), income and economic status (</w:t>
      </w:r>
      <w:proofErr w:type="spellStart"/>
      <w:r w:rsidRPr="006020DF">
        <w:rPr>
          <w:rFonts w:ascii="Times New Roman" w:eastAsia="Times New Roman" w:hAnsi="Times New Roman" w:cs="Times New Roman"/>
          <w:sz w:val="24"/>
          <w:szCs w:val="24"/>
          <w:lang w:val="en-US"/>
        </w:rPr>
        <w:t>Dedeoglu</w:t>
      </w:r>
      <w:proofErr w:type="spellEnd"/>
      <w:r w:rsidRPr="006020DF">
        <w:rPr>
          <w:rFonts w:ascii="Times New Roman" w:eastAsia="Times New Roman" w:hAnsi="Times New Roman" w:cs="Times New Roman"/>
          <w:sz w:val="24"/>
          <w:szCs w:val="24"/>
          <w:lang w:val="en-US"/>
        </w:rPr>
        <w:t>, 2006), previous experience (Russell et al., 1995), property ownership (</w:t>
      </w:r>
      <w:proofErr w:type="spellStart"/>
      <w:r w:rsidRPr="006020DF">
        <w:rPr>
          <w:rFonts w:ascii="Times New Roman" w:eastAsia="Times New Roman" w:hAnsi="Times New Roman" w:cs="Times New Roman"/>
          <w:sz w:val="24"/>
          <w:szCs w:val="24"/>
          <w:lang w:val="en-US"/>
        </w:rPr>
        <w:t>Mulilis</w:t>
      </w:r>
      <w:proofErr w:type="spellEnd"/>
      <w:r w:rsidRPr="006020DF">
        <w:rPr>
          <w:rFonts w:ascii="Times New Roman" w:eastAsia="Times New Roman" w:hAnsi="Times New Roman" w:cs="Times New Roman"/>
          <w:sz w:val="24"/>
          <w:szCs w:val="24"/>
          <w:lang w:val="en-US"/>
        </w:rPr>
        <w:t xml:space="preserve"> et al., 2000; </w:t>
      </w:r>
      <w:proofErr w:type="spellStart"/>
      <w:r w:rsidRPr="006020DF">
        <w:rPr>
          <w:rFonts w:ascii="Times New Roman" w:eastAsia="Times New Roman" w:hAnsi="Times New Roman" w:cs="Times New Roman"/>
          <w:sz w:val="24"/>
          <w:szCs w:val="24"/>
          <w:lang w:val="en-US"/>
        </w:rPr>
        <w:t>Spittal</w:t>
      </w:r>
      <w:proofErr w:type="spellEnd"/>
      <w:r w:rsidRPr="006020DF">
        <w:rPr>
          <w:rFonts w:ascii="Times New Roman" w:eastAsia="Times New Roman" w:hAnsi="Times New Roman" w:cs="Times New Roman"/>
          <w:sz w:val="24"/>
          <w:szCs w:val="24"/>
          <w:lang w:val="en-US"/>
        </w:rPr>
        <w:t xml:space="preserve"> et al., 2008), length of residence (Duval &amp; </w:t>
      </w:r>
      <w:proofErr w:type="spellStart"/>
      <w:r w:rsidRPr="006020DF">
        <w:rPr>
          <w:rFonts w:ascii="Times New Roman" w:eastAsia="Times New Roman" w:hAnsi="Times New Roman" w:cs="Times New Roman"/>
          <w:sz w:val="24"/>
          <w:szCs w:val="24"/>
          <w:lang w:val="en-US"/>
        </w:rPr>
        <w:t>Mulilis</w:t>
      </w:r>
      <w:proofErr w:type="spellEnd"/>
      <w:r w:rsidRPr="006020DF">
        <w:rPr>
          <w:rFonts w:ascii="Times New Roman" w:eastAsia="Times New Roman" w:hAnsi="Times New Roman" w:cs="Times New Roman"/>
          <w:sz w:val="24"/>
          <w:szCs w:val="24"/>
          <w:lang w:val="en-US"/>
        </w:rPr>
        <w:t>, 1999), and duration of stay in a given community (</w:t>
      </w:r>
      <w:proofErr w:type="spellStart"/>
      <w:r w:rsidRPr="006020DF">
        <w:rPr>
          <w:rFonts w:ascii="Times New Roman" w:eastAsia="Times New Roman" w:hAnsi="Times New Roman" w:cs="Times New Roman"/>
          <w:sz w:val="24"/>
          <w:szCs w:val="24"/>
          <w:lang w:val="en-US"/>
        </w:rPr>
        <w:t>Tekeli-Yeşil</w:t>
      </w:r>
      <w:proofErr w:type="spellEnd"/>
      <w:r w:rsidRPr="006020DF">
        <w:rPr>
          <w:rFonts w:ascii="Times New Roman" w:eastAsia="Times New Roman" w:hAnsi="Times New Roman" w:cs="Times New Roman"/>
          <w:sz w:val="24"/>
          <w:szCs w:val="24"/>
          <w:lang w:val="en-US"/>
        </w:rPr>
        <w:t xml:space="preserve"> et al., 2011) are associated with the adoption of preventive measures.</w:t>
      </w:r>
    </w:p>
    <w:p w14:paraId="09803F19" w14:textId="4DBFEB44" w:rsidR="004132F6" w:rsidRPr="006020DF" w:rsidRDefault="00705126" w:rsidP="004132F6">
      <w:pPr>
        <w:spacing w:after="0" w:line="240" w:lineRule="auto"/>
        <w:ind w:firstLine="567"/>
        <w:jc w:val="both"/>
        <w:rPr>
          <w:rFonts w:ascii="Times New Roman" w:eastAsia="Times New Roman" w:hAnsi="Times New Roman" w:cs="Times New Roman"/>
          <w:sz w:val="24"/>
          <w:szCs w:val="24"/>
          <w:lang w:val="en-US"/>
        </w:rPr>
      </w:pPr>
      <w:r w:rsidRPr="006020DF">
        <w:rPr>
          <w:rFonts w:ascii="Times New Roman" w:eastAsia="Times New Roman" w:hAnsi="Times New Roman" w:cs="Times New Roman"/>
          <w:sz w:val="24"/>
          <w:szCs w:val="24"/>
          <w:lang w:val="en-US"/>
        </w:rPr>
        <w:t>Beyond taking preventive actions against earthquake-induced natural disasters, there are additional ways to reduce earthquake risk, including land-use planning (Kerr et al., 2003) and engineering solutions (e.g., constructing earthquake-resistant buildings; early warning systems that provide several seconds of advance notice before ground shaking begins) (</w:t>
      </w:r>
      <w:proofErr w:type="spellStart"/>
      <w:r w:rsidRPr="006020DF">
        <w:rPr>
          <w:rFonts w:ascii="Times New Roman" w:eastAsia="Times New Roman" w:hAnsi="Times New Roman" w:cs="Times New Roman"/>
          <w:sz w:val="24"/>
          <w:szCs w:val="24"/>
          <w:lang w:val="en-US"/>
        </w:rPr>
        <w:t>Satriano</w:t>
      </w:r>
      <w:proofErr w:type="spellEnd"/>
      <w:r w:rsidRPr="006020DF">
        <w:rPr>
          <w:rFonts w:ascii="Times New Roman" w:eastAsia="Times New Roman" w:hAnsi="Times New Roman" w:cs="Times New Roman"/>
          <w:sz w:val="24"/>
          <w:szCs w:val="24"/>
          <w:lang w:val="en-US"/>
        </w:rPr>
        <w:t xml:space="preserve"> et al., 2011). Behavior during an earthquake depends on several factors, including earthquake magnitude, the type of building in which a person is located, the individual’s physical ability to move, and their knowledge of appropriate actions in such situations.</w:t>
      </w:r>
    </w:p>
    <w:p w14:paraId="2F44612C" w14:textId="7CC393DA" w:rsidR="005C709D" w:rsidRPr="006020DF" w:rsidRDefault="00DA5E6A" w:rsidP="005C709D">
      <w:pPr>
        <w:spacing w:after="0" w:line="240" w:lineRule="auto"/>
        <w:ind w:firstLine="567"/>
        <w:jc w:val="both"/>
        <w:rPr>
          <w:rFonts w:ascii="Times New Roman" w:eastAsia="Times New Roman" w:hAnsi="Times New Roman" w:cs="Times New Roman"/>
          <w:sz w:val="24"/>
          <w:szCs w:val="24"/>
          <w:lang w:val="en-US"/>
        </w:rPr>
      </w:pPr>
      <w:r w:rsidRPr="006020DF">
        <w:rPr>
          <w:rFonts w:ascii="Times New Roman" w:eastAsia="Times New Roman" w:hAnsi="Times New Roman" w:cs="Times New Roman"/>
          <w:sz w:val="24"/>
          <w:szCs w:val="24"/>
          <w:lang w:val="en-US"/>
        </w:rPr>
        <w:lastRenderedPageBreak/>
        <w:t xml:space="preserve">Among the most influential theoretical approaches to understanding human behavior is the Theory of Planned Behavior </w:t>
      </w:r>
      <w:r w:rsidR="00705126" w:rsidRPr="006020DF">
        <w:rPr>
          <w:rFonts w:ascii="Times New Roman" w:eastAsia="Times New Roman" w:hAnsi="Times New Roman" w:cs="Times New Roman"/>
          <w:sz w:val="24"/>
          <w:szCs w:val="24"/>
          <w:lang w:val="en-US"/>
        </w:rPr>
        <w:t xml:space="preserve">(TPB) (Ajzen, 1991; Ajzen et al., 2011). Across various fields, this theory has proven highly useful and significant (Kim, 2002; Voon et al., 2011). As of April 2020, TPB </w:t>
      </w:r>
      <w:r w:rsidR="004924AF" w:rsidRPr="006020DF">
        <w:rPr>
          <w:rFonts w:ascii="Times New Roman" w:eastAsia="Times New Roman" w:hAnsi="Times New Roman" w:cs="Times New Roman"/>
          <w:sz w:val="24"/>
          <w:szCs w:val="24"/>
          <w:lang w:val="en-US"/>
        </w:rPr>
        <w:t xml:space="preserve">has been empirically examined </w:t>
      </w:r>
      <w:r w:rsidR="00705126" w:rsidRPr="006020DF">
        <w:rPr>
          <w:rFonts w:ascii="Times New Roman" w:eastAsia="Times New Roman" w:hAnsi="Times New Roman" w:cs="Times New Roman"/>
          <w:sz w:val="24"/>
          <w:szCs w:val="24"/>
          <w:lang w:val="en-US"/>
        </w:rPr>
        <w:t>in more than 4,200 studies indexed in the Web of Science</w:t>
      </w:r>
      <w:r w:rsidR="004924AF" w:rsidRPr="006020DF">
        <w:rPr>
          <w:rFonts w:ascii="Times New Roman" w:eastAsia="Times New Roman" w:hAnsi="Times New Roman" w:cs="Times New Roman"/>
          <w:sz w:val="24"/>
          <w:szCs w:val="24"/>
          <w:lang w:val="en-US"/>
        </w:rPr>
        <w:t xml:space="preserve"> </w:t>
      </w:r>
      <w:r w:rsidR="00705126" w:rsidRPr="006020DF">
        <w:rPr>
          <w:rFonts w:ascii="Times New Roman" w:eastAsia="Times New Roman" w:hAnsi="Times New Roman" w:cs="Times New Roman"/>
          <w:sz w:val="24"/>
          <w:szCs w:val="24"/>
          <w:lang w:val="en-US"/>
        </w:rPr>
        <w:t xml:space="preserve">database, </w:t>
      </w:r>
      <w:r w:rsidR="000F4223" w:rsidRPr="006020DF">
        <w:rPr>
          <w:rFonts w:ascii="Times New Roman" w:eastAsia="Times New Roman" w:hAnsi="Times New Roman" w:cs="Times New Roman"/>
          <w:sz w:val="24"/>
          <w:szCs w:val="24"/>
          <w:lang w:val="en-US"/>
        </w:rPr>
        <w:t xml:space="preserve">positioning it among the </w:t>
      </w:r>
      <w:r w:rsidR="007A3F15" w:rsidRPr="006020DF">
        <w:rPr>
          <w:rFonts w:ascii="Times New Roman" w:eastAsia="Times New Roman" w:hAnsi="Times New Roman" w:cs="Times New Roman"/>
          <w:sz w:val="24"/>
          <w:szCs w:val="24"/>
          <w:lang w:val="en-US"/>
        </w:rPr>
        <w:t>most used</w:t>
      </w:r>
      <w:r w:rsidR="00705126" w:rsidRPr="006020DF">
        <w:rPr>
          <w:rFonts w:ascii="Times New Roman" w:eastAsia="Times New Roman" w:hAnsi="Times New Roman" w:cs="Times New Roman"/>
          <w:sz w:val="24"/>
          <w:szCs w:val="24"/>
          <w:lang w:val="en-US"/>
        </w:rPr>
        <w:t xml:space="preserve"> theories in the social sciences.</w:t>
      </w:r>
      <w:r w:rsidR="00814224" w:rsidRPr="006020DF">
        <w:rPr>
          <w:rFonts w:ascii="Times New Roman" w:eastAsia="Times New Roman" w:hAnsi="Times New Roman" w:cs="Times New Roman"/>
          <w:sz w:val="24"/>
          <w:szCs w:val="24"/>
          <w:lang w:val="en-US"/>
        </w:rPr>
        <w:t xml:space="preserve"> </w:t>
      </w:r>
    </w:p>
    <w:p w14:paraId="54D2A357" w14:textId="4179DAFE" w:rsidR="004132F6" w:rsidRPr="006020DF" w:rsidRDefault="00105446" w:rsidP="005C709D">
      <w:pPr>
        <w:spacing w:after="0" w:line="240" w:lineRule="auto"/>
        <w:ind w:firstLine="567"/>
        <w:jc w:val="both"/>
        <w:rPr>
          <w:rFonts w:ascii="Times New Roman" w:eastAsia="Times New Roman" w:hAnsi="Times New Roman" w:cs="Times New Roman"/>
          <w:sz w:val="24"/>
          <w:szCs w:val="24"/>
          <w:lang w:val="en-US"/>
        </w:rPr>
      </w:pPr>
      <w:r w:rsidRPr="006020DF">
        <w:rPr>
          <w:rFonts w:ascii="Times New Roman" w:eastAsia="Times New Roman" w:hAnsi="Times New Roman" w:cs="Times New Roman"/>
          <w:sz w:val="24"/>
          <w:szCs w:val="24"/>
          <w:lang w:val="en-US"/>
        </w:rPr>
        <w:t xml:space="preserve">This study aims </w:t>
      </w:r>
      <w:r w:rsidR="004132F6" w:rsidRPr="006020DF">
        <w:rPr>
          <w:rFonts w:ascii="Times New Roman" w:eastAsia="Times New Roman" w:hAnsi="Times New Roman" w:cs="Times New Roman"/>
          <w:sz w:val="24"/>
          <w:szCs w:val="24"/>
          <w:lang w:val="en-US"/>
        </w:rPr>
        <w:t xml:space="preserve">to examine the determinants of citizens’ earthquake preparedness through the lens of the TPB, </w:t>
      </w:r>
      <w:r w:rsidRPr="006020DF">
        <w:rPr>
          <w:rFonts w:ascii="Times New Roman" w:eastAsia="Times New Roman" w:hAnsi="Times New Roman" w:cs="Times New Roman"/>
          <w:sz w:val="24"/>
          <w:szCs w:val="24"/>
          <w:lang w:val="en-US"/>
        </w:rPr>
        <w:t>exploring how attitudes,</w:t>
      </w:r>
      <w:r w:rsidR="004132F6" w:rsidRPr="006020DF">
        <w:rPr>
          <w:rFonts w:ascii="Times New Roman" w:eastAsia="Times New Roman" w:hAnsi="Times New Roman" w:cs="Times New Roman"/>
          <w:sz w:val="24"/>
          <w:szCs w:val="24"/>
          <w:lang w:val="en-US"/>
        </w:rPr>
        <w:t xml:space="preserve"> perceived behavioral control, </w:t>
      </w:r>
      <w:r w:rsidRPr="006020DF">
        <w:rPr>
          <w:rFonts w:ascii="Times New Roman" w:eastAsia="Times New Roman" w:hAnsi="Times New Roman" w:cs="Times New Roman"/>
          <w:sz w:val="24"/>
          <w:szCs w:val="24"/>
          <w:lang w:val="en-US"/>
        </w:rPr>
        <w:t>and subjective norms influence</w:t>
      </w:r>
      <w:r w:rsidR="004132F6" w:rsidRPr="006020DF">
        <w:rPr>
          <w:rFonts w:ascii="Times New Roman" w:eastAsia="Times New Roman" w:hAnsi="Times New Roman" w:cs="Times New Roman"/>
          <w:sz w:val="24"/>
          <w:szCs w:val="24"/>
          <w:lang w:val="en-US"/>
        </w:rPr>
        <w:t xml:space="preserve"> preparedness intentions and behavior. In addition to these psychological components, the study incorporates a set of sociodemographic variables identified in prior research as significant predictors of risk-related behavior. These include </w:t>
      </w:r>
      <w:r w:rsidRPr="006020DF">
        <w:rPr>
          <w:rFonts w:ascii="Times New Roman" w:eastAsia="Times New Roman" w:hAnsi="Times New Roman" w:cs="Times New Roman"/>
          <w:sz w:val="24"/>
          <w:szCs w:val="24"/>
          <w:lang w:val="en-US"/>
        </w:rPr>
        <w:t xml:space="preserve">socio-demographic characteristics such as </w:t>
      </w:r>
      <w:r w:rsidR="00F77E55" w:rsidRPr="006020DF">
        <w:rPr>
          <w:rFonts w:ascii="Times New Roman" w:eastAsia="Times New Roman" w:hAnsi="Times New Roman" w:cs="Times New Roman"/>
          <w:sz w:val="24"/>
          <w:szCs w:val="24"/>
          <w:lang w:val="en-US"/>
        </w:rPr>
        <w:t xml:space="preserve">age, gender, </w:t>
      </w:r>
      <w:r w:rsidR="004132F6" w:rsidRPr="006020DF">
        <w:rPr>
          <w:rFonts w:ascii="Times New Roman" w:eastAsia="Times New Roman" w:hAnsi="Times New Roman" w:cs="Times New Roman"/>
          <w:sz w:val="24"/>
          <w:szCs w:val="24"/>
          <w:lang w:val="en-US"/>
        </w:rPr>
        <w:t xml:space="preserve">marital status, income, level of education, </w:t>
      </w:r>
      <w:r w:rsidR="00E65611" w:rsidRPr="006020DF">
        <w:rPr>
          <w:rFonts w:ascii="Times New Roman" w:eastAsia="Times New Roman" w:hAnsi="Times New Roman" w:cs="Times New Roman"/>
          <w:sz w:val="24"/>
          <w:szCs w:val="24"/>
          <w:lang w:val="en-US"/>
        </w:rPr>
        <w:t xml:space="preserve">previous earthquake experience, </w:t>
      </w:r>
      <w:r w:rsidR="004132F6" w:rsidRPr="006020DF">
        <w:rPr>
          <w:rFonts w:ascii="Times New Roman" w:eastAsia="Times New Roman" w:hAnsi="Times New Roman" w:cs="Times New Roman"/>
          <w:sz w:val="24"/>
          <w:szCs w:val="24"/>
          <w:lang w:val="en-US"/>
        </w:rPr>
        <w:t>home ownership,</w:t>
      </w:r>
      <w:r w:rsidR="00E65611" w:rsidRPr="006020DF">
        <w:rPr>
          <w:rFonts w:ascii="Times New Roman" w:eastAsia="Times New Roman" w:hAnsi="Times New Roman" w:cs="Times New Roman"/>
          <w:sz w:val="24"/>
          <w:szCs w:val="24"/>
          <w:lang w:val="en-US"/>
        </w:rPr>
        <w:t xml:space="preserve"> and</w:t>
      </w:r>
      <w:r w:rsidR="004132F6" w:rsidRPr="006020DF">
        <w:rPr>
          <w:rFonts w:ascii="Times New Roman" w:eastAsia="Times New Roman" w:hAnsi="Times New Roman" w:cs="Times New Roman"/>
          <w:sz w:val="24"/>
          <w:szCs w:val="24"/>
          <w:lang w:val="en-US"/>
        </w:rPr>
        <w:t xml:space="preserve"> length of residence, as well as risk perception, attitudes and beliefs about hazards, and trust in institutions.</w:t>
      </w:r>
      <w:r w:rsidR="00C360F4" w:rsidRPr="006020DF">
        <w:rPr>
          <w:lang w:val="en-US"/>
        </w:rPr>
        <w:t xml:space="preserve"> </w:t>
      </w:r>
      <w:r w:rsidR="00C360F4" w:rsidRPr="006020DF">
        <w:rPr>
          <w:rFonts w:ascii="Times New Roman" w:eastAsia="Times New Roman" w:hAnsi="Times New Roman" w:cs="Times New Roman"/>
          <w:sz w:val="24"/>
          <w:szCs w:val="24"/>
          <w:lang w:val="en-US"/>
        </w:rPr>
        <w:t>This study represents a conceptual and narrative review based on an analysis of relevant scientific literature.</w:t>
      </w:r>
    </w:p>
    <w:p w14:paraId="490DE052" w14:textId="41B4832D" w:rsidR="005C709D" w:rsidRPr="006020DF" w:rsidRDefault="009D1191" w:rsidP="005C709D">
      <w:pPr>
        <w:spacing w:before="100" w:beforeAutospacing="1" w:after="100" w:afterAutospacing="1" w:line="240" w:lineRule="auto"/>
        <w:jc w:val="center"/>
        <w:rPr>
          <w:rFonts w:ascii="Times New Roman" w:eastAsia="Times New Roman" w:hAnsi="Times New Roman" w:cs="Times New Roman"/>
          <w:i/>
          <w:iCs/>
          <w:sz w:val="24"/>
          <w:szCs w:val="24"/>
          <w:lang w:val="en-US"/>
        </w:rPr>
      </w:pPr>
      <w:r w:rsidRPr="006020DF">
        <w:rPr>
          <w:rFonts w:ascii="Times New Roman" w:eastAsia="Times New Roman" w:hAnsi="Times New Roman" w:cs="Times New Roman"/>
          <w:i/>
          <w:iCs/>
          <w:sz w:val="24"/>
          <w:szCs w:val="24"/>
          <w:lang w:val="en-US"/>
        </w:rPr>
        <w:t>TPB IN THE FIELD OF DISASTER RISK MANAGEMENT</w:t>
      </w:r>
    </w:p>
    <w:p w14:paraId="68559488" w14:textId="568B91E9" w:rsidR="00705126" w:rsidRPr="006020DF" w:rsidRDefault="00705126" w:rsidP="00705126">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 xml:space="preserve">TPB represents an extension of the Theory of Reasoned Action (TRA) </w:t>
      </w:r>
      <w:r w:rsidR="00E65611" w:rsidRPr="006020DF">
        <w:rPr>
          <w:rFonts w:ascii="Times New Roman" w:hAnsi="Times New Roman" w:cs="Times New Roman"/>
          <w:sz w:val="24"/>
          <w:szCs w:val="24"/>
          <w:lang w:val="en-US"/>
        </w:rPr>
        <w:t xml:space="preserve">introduced by </w:t>
      </w:r>
      <w:r w:rsidRPr="006020DF">
        <w:rPr>
          <w:rFonts w:ascii="Times New Roman" w:hAnsi="Times New Roman" w:cs="Times New Roman"/>
          <w:sz w:val="24"/>
          <w:szCs w:val="24"/>
          <w:lang w:val="en-US"/>
        </w:rPr>
        <w:t xml:space="preserve">Ajzen and Fishbein (Sheppard et al., 1988), which explains individual behavior in a highly systematic and comprehensible manner (Conner &amp; Armitage, 1998). </w:t>
      </w:r>
      <w:r w:rsidR="00E65611" w:rsidRPr="006020DF">
        <w:rPr>
          <w:rFonts w:ascii="Times New Roman" w:hAnsi="Times New Roman" w:cs="Times New Roman"/>
          <w:sz w:val="24"/>
          <w:szCs w:val="24"/>
          <w:lang w:val="en-US"/>
        </w:rPr>
        <w:t>Consistent with the original TRA</w:t>
      </w:r>
      <w:r w:rsidRPr="006020DF">
        <w:rPr>
          <w:rFonts w:ascii="Times New Roman" w:hAnsi="Times New Roman" w:cs="Times New Roman"/>
          <w:sz w:val="24"/>
          <w:szCs w:val="24"/>
          <w:lang w:val="en-US"/>
        </w:rPr>
        <w:t xml:space="preserve">, the central </w:t>
      </w:r>
      <w:r w:rsidR="00E65611" w:rsidRPr="006020DF">
        <w:rPr>
          <w:rFonts w:ascii="Times New Roman" w:hAnsi="Times New Roman" w:cs="Times New Roman"/>
          <w:sz w:val="24"/>
          <w:szCs w:val="24"/>
          <w:lang w:val="en-US"/>
        </w:rPr>
        <w:t xml:space="preserve">determinant </w:t>
      </w:r>
      <w:r w:rsidRPr="006020DF">
        <w:rPr>
          <w:rFonts w:ascii="Times New Roman" w:hAnsi="Times New Roman" w:cs="Times New Roman"/>
          <w:sz w:val="24"/>
          <w:szCs w:val="24"/>
          <w:lang w:val="en-US"/>
        </w:rPr>
        <w:t xml:space="preserve">in TPB is an individual’s intention to perform a given behavior (Ajzen, 1991). Both TRA and TPB originate from attitude theory, which was developed </w:t>
      </w:r>
      <w:proofErr w:type="gramStart"/>
      <w:r w:rsidRPr="006020DF">
        <w:rPr>
          <w:rFonts w:ascii="Times New Roman" w:hAnsi="Times New Roman" w:cs="Times New Roman"/>
          <w:sz w:val="24"/>
          <w:szCs w:val="24"/>
          <w:lang w:val="en-US"/>
        </w:rPr>
        <w:t>on the basis of</w:t>
      </w:r>
      <w:proofErr w:type="gramEnd"/>
      <w:r w:rsidRPr="006020DF">
        <w:rPr>
          <w:rFonts w:ascii="Times New Roman" w:hAnsi="Times New Roman" w:cs="Times New Roman"/>
          <w:sz w:val="24"/>
          <w:szCs w:val="24"/>
          <w:lang w:val="en-US"/>
        </w:rPr>
        <w:t xml:space="preserve"> examining how attitudes influence behavior. It was observed that attitudes—once considered the primary determinants of behavior—were not always strong predictors, and that the relationship between attitudes and behavior was in some cases extremely weak or even nonexistent (Fishbein &amp; Ajzen, 1975).</w:t>
      </w:r>
    </w:p>
    <w:p w14:paraId="3DB429F3" w14:textId="2E3E0BD9" w:rsidR="005C709D" w:rsidRPr="006020DF" w:rsidRDefault="005C709D" w:rsidP="00E24DD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 xml:space="preserve"> A few years later, Ajzen extended the model of behavior prediction </w:t>
      </w:r>
      <w:r w:rsidR="00244E4C" w:rsidRPr="006020DF">
        <w:rPr>
          <w:rFonts w:ascii="Times New Roman" w:hAnsi="Times New Roman" w:cs="Times New Roman"/>
          <w:sz w:val="24"/>
          <w:szCs w:val="24"/>
          <w:lang w:val="en-US"/>
        </w:rPr>
        <w:t>through the inclusion of perceived behavioral control</w:t>
      </w:r>
      <w:r w:rsidRPr="006020DF">
        <w:rPr>
          <w:rFonts w:ascii="Times New Roman" w:hAnsi="Times New Roman" w:cs="Times New Roman"/>
          <w:sz w:val="24"/>
          <w:szCs w:val="24"/>
          <w:lang w:val="en-US"/>
        </w:rPr>
        <w:t xml:space="preserve"> to the existing list of predictors that </w:t>
      </w:r>
      <w:proofErr w:type="gramStart"/>
      <w:r w:rsidRPr="006020DF">
        <w:rPr>
          <w:rFonts w:ascii="Times New Roman" w:hAnsi="Times New Roman" w:cs="Times New Roman"/>
          <w:sz w:val="24"/>
          <w:szCs w:val="24"/>
          <w:lang w:val="en-US"/>
        </w:rPr>
        <w:t>is able to</w:t>
      </w:r>
      <w:proofErr w:type="gramEnd"/>
      <w:r w:rsidRPr="006020DF">
        <w:rPr>
          <w:rFonts w:ascii="Times New Roman" w:hAnsi="Times New Roman" w:cs="Times New Roman"/>
          <w:sz w:val="24"/>
          <w:szCs w:val="24"/>
          <w:lang w:val="en-US"/>
        </w:rPr>
        <w:t xml:space="preserve"> explain not only direct intentions, but in numerous instances, directly cause behavior along with intention (Ajzen, 1991). </w:t>
      </w:r>
      <w:r w:rsidR="00873BD6" w:rsidRPr="006020DF">
        <w:rPr>
          <w:rFonts w:ascii="Times New Roman" w:hAnsi="Times New Roman" w:cs="Times New Roman"/>
          <w:sz w:val="24"/>
          <w:szCs w:val="24"/>
          <w:lang w:val="en-US"/>
        </w:rPr>
        <w:t xml:space="preserve">In subsequent research, Ajzen and colleagues </w:t>
      </w:r>
      <w:r w:rsidRPr="006020DF">
        <w:rPr>
          <w:rFonts w:ascii="Times New Roman" w:hAnsi="Times New Roman" w:cs="Times New Roman"/>
          <w:sz w:val="24"/>
          <w:szCs w:val="24"/>
          <w:lang w:val="en-US"/>
        </w:rPr>
        <w:t xml:space="preserve">studied motives that directly or indirectly cause behavior with an eye to </w:t>
      </w:r>
      <w:proofErr w:type="gramStart"/>
      <w:r w:rsidRPr="006020DF">
        <w:rPr>
          <w:rFonts w:ascii="Times New Roman" w:hAnsi="Times New Roman" w:cs="Times New Roman"/>
          <w:sz w:val="24"/>
          <w:szCs w:val="24"/>
          <w:lang w:val="en-US"/>
        </w:rPr>
        <w:t>determining</w:t>
      </w:r>
      <w:proofErr w:type="gramEnd"/>
      <w:r w:rsidRPr="006020DF">
        <w:rPr>
          <w:rFonts w:ascii="Times New Roman" w:hAnsi="Times New Roman" w:cs="Times New Roman"/>
          <w:sz w:val="24"/>
          <w:szCs w:val="24"/>
          <w:lang w:val="en-US"/>
        </w:rPr>
        <w:t xml:space="preserve"> evidence-based patterns for how conduct can be predicted (Madden et al., 1992).</w:t>
      </w:r>
    </w:p>
    <w:p w14:paraId="346493C9" w14:textId="33574284" w:rsidR="00E24DD9" w:rsidRPr="006020DF" w:rsidRDefault="00E24DD9" w:rsidP="00E24DD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 xml:space="preserve">Accordingly, intentions are examined through motivational </w:t>
      </w:r>
      <w:r w:rsidR="009021A7" w:rsidRPr="006020DF">
        <w:rPr>
          <w:rFonts w:ascii="Times New Roman" w:hAnsi="Times New Roman" w:cs="Times New Roman"/>
          <w:sz w:val="24"/>
          <w:szCs w:val="24"/>
          <w:lang w:val="en-US"/>
        </w:rPr>
        <w:t>determinants</w:t>
      </w:r>
      <w:r w:rsidRPr="006020DF">
        <w:rPr>
          <w:rFonts w:ascii="Times New Roman" w:hAnsi="Times New Roman" w:cs="Times New Roman"/>
          <w:sz w:val="24"/>
          <w:szCs w:val="24"/>
          <w:lang w:val="en-US"/>
        </w:rPr>
        <w:t xml:space="preserve"> </w:t>
      </w:r>
      <w:r w:rsidR="00352848" w:rsidRPr="006020DF">
        <w:rPr>
          <w:rFonts w:ascii="Times New Roman" w:hAnsi="Times New Roman" w:cs="Times New Roman"/>
          <w:sz w:val="24"/>
          <w:szCs w:val="24"/>
          <w:lang w:val="en-US"/>
        </w:rPr>
        <w:t xml:space="preserve">that </w:t>
      </w:r>
      <w:r w:rsidR="009021A7" w:rsidRPr="006020DF">
        <w:rPr>
          <w:rFonts w:ascii="Times New Roman" w:hAnsi="Times New Roman" w:cs="Times New Roman"/>
          <w:sz w:val="24"/>
          <w:szCs w:val="24"/>
          <w:lang w:val="en-US"/>
        </w:rPr>
        <w:t>indicate the degree to which individuals are prepared to perform a given behavior and the effort they intend to invest in its execution</w:t>
      </w:r>
      <w:r w:rsidRPr="006020DF">
        <w:rPr>
          <w:rFonts w:ascii="Times New Roman" w:hAnsi="Times New Roman" w:cs="Times New Roman"/>
          <w:sz w:val="24"/>
          <w:szCs w:val="24"/>
          <w:lang w:val="en-US"/>
        </w:rPr>
        <w:t xml:space="preserve">. </w:t>
      </w:r>
      <w:r w:rsidR="00FA3C39" w:rsidRPr="006020DF">
        <w:rPr>
          <w:rFonts w:ascii="Times New Roman" w:hAnsi="Times New Roman" w:cs="Times New Roman"/>
          <w:sz w:val="24"/>
          <w:szCs w:val="24"/>
          <w:lang w:val="en-US"/>
        </w:rPr>
        <w:t>In general, stronger behavioral intentions are associated with a higher likelihood of performing the behavior (Ajzen, 1991).</w:t>
      </w:r>
      <w:r w:rsidRPr="006020DF">
        <w:rPr>
          <w:rFonts w:ascii="Times New Roman" w:hAnsi="Times New Roman" w:cs="Times New Roman"/>
          <w:sz w:val="24"/>
          <w:szCs w:val="24"/>
          <w:lang w:val="en-US"/>
        </w:rPr>
        <w:t xml:space="preserve"> </w:t>
      </w:r>
      <w:r w:rsidR="0005292C" w:rsidRPr="006020DF">
        <w:rPr>
          <w:rFonts w:ascii="Times New Roman" w:hAnsi="Times New Roman" w:cs="Times New Roman"/>
          <w:sz w:val="24"/>
          <w:szCs w:val="24"/>
          <w:lang w:val="en-US"/>
        </w:rPr>
        <w:t xml:space="preserve">Ajzen has emphasized that intentions can be translated into actual behavior only when the behavior is under volitional control, meaning that individuals are able to freely decide </w:t>
      </w:r>
      <w:r w:rsidR="006903F5" w:rsidRPr="006020DF">
        <w:rPr>
          <w:rFonts w:ascii="Times New Roman" w:hAnsi="Times New Roman" w:cs="Times New Roman"/>
          <w:sz w:val="24"/>
          <w:szCs w:val="24"/>
          <w:lang w:val="en-US"/>
        </w:rPr>
        <w:t>whether</w:t>
      </w:r>
      <w:r w:rsidR="0005292C" w:rsidRPr="006020DF">
        <w:rPr>
          <w:rFonts w:ascii="Times New Roman" w:hAnsi="Times New Roman" w:cs="Times New Roman"/>
          <w:sz w:val="24"/>
          <w:szCs w:val="24"/>
          <w:lang w:val="en-US"/>
        </w:rPr>
        <w:t xml:space="preserve"> to perform the action.</w:t>
      </w:r>
      <w:r w:rsidRPr="006020DF">
        <w:rPr>
          <w:rFonts w:ascii="Times New Roman" w:hAnsi="Times New Roman" w:cs="Times New Roman"/>
          <w:sz w:val="24"/>
          <w:szCs w:val="24"/>
          <w:lang w:val="en-US"/>
        </w:rPr>
        <w:t xml:space="preserve"> </w:t>
      </w:r>
      <w:r w:rsidR="0005292C" w:rsidRPr="006020DF">
        <w:rPr>
          <w:rFonts w:ascii="Times New Roman" w:hAnsi="Times New Roman" w:cs="Times New Roman"/>
          <w:sz w:val="24"/>
          <w:szCs w:val="24"/>
          <w:lang w:val="en-US"/>
        </w:rPr>
        <w:t xml:space="preserve">While some behaviors may </w:t>
      </w:r>
      <w:r w:rsidRPr="006020DF">
        <w:rPr>
          <w:rFonts w:ascii="Times New Roman" w:hAnsi="Times New Roman" w:cs="Times New Roman"/>
          <w:sz w:val="24"/>
          <w:szCs w:val="24"/>
          <w:lang w:val="en-US"/>
        </w:rPr>
        <w:t>meet this requirement reasonably well, the performance of most behaviors depends, at least to some extent, on motivational factors such as the availability of necessary opportunities and resources</w:t>
      </w:r>
      <w:r w:rsidR="00313101" w:rsidRPr="006020DF">
        <w:rPr>
          <w:lang w:val="en-US"/>
        </w:rPr>
        <w:t xml:space="preserve"> </w:t>
      </w:r>
      <w:r w:rsidR="00313101" w:rsidRPr="006020DF">
        <w:rPr>
          <w:rFonts w:ascii="Times New Roman" w:hAnsi="Times New Roman" w:cs="Times New Roman"/>
          <w:sz w:val="24"/>
          <w:szCs w:val="24"/>
          <w:lang w:val="en-US"/>
        </w:rPr>
        <w:t>including time, money, skills, and cooperation from others</w:t>
      </w:r>
      <w:r w:rsidR="006903F5" w:rsidRPr="006020DF">
        <w:rPr>
          <w:rFonts w:ascii="Times New Roman" w:hAnsi="Times New Roman" w:cs="Times New Roman"/>
          <w:sz w:val="24"/>
          <w:szCs w:val="24"/>
          <w:lang w:val="en-US"/>
        </w:rPr>
        <w:t xml:space="preserve"> </w:t>
      </w:r>
      <w:r w:rsidRPr="006020DF">
        <w:rPr>
          <w:rFonts w:ascii="Times New Roman" w:hAnsi="Times New Roman" w:cs="Times New Roman"/>
          <w:sz w:val="24"/>
          <w:szCs w:val="24"/>
          <w:lang w:val="en-US"/>
        </w:rPr>
        <w:t>(Ajzen, 1991).</w:t>
      </w:r>
    </w:p>
    <w:p w14:paraId="11864629" w14:textId="77777777" w:rsidR="00E24DD9" w:rsidRPr="006020DF" w:rsidRDefault="00E24DD9" w:rsidP="00E24DD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The theory highlights that human behavior coexists with both direct and indirect intention, as well as with the perception of behavioral control. Therefore, in addition to attitudes toward the behavior, TPB identifies subjective norms and perceived behavioral control as direct predictors of planned intentional behavior (</w:t>
      </w:r>
      <w:proofErr w:type="spellStart"/>
      <w:r w:rsidRPr="006020DF">
        <w:rPr>
          <w:rFonts w:ascii="Times New Roman" w:hAnsi="Times New Roman" w:cs="Times New Roman"/>
          <w:sz w:val="24"/>
          <w:szCs w:val="24"/>
          <w:lang w:val="en-US"/>
        </w:rPr>
        <w:t>Bosnjak</w:t>
      </w:r>
      <w:proofErr w:type="spellEnd"/>
      <w:r w:rsidRPr="006020DF">
        <w:rPr>
          <w:rFonts w:ascii="Times New Roman" w:hAnsi="Times New Roman" w:cs="Times New Roman"/>
          <w:sz w:val="24"/>
          <w:szCs w:val="24"/>
          <w:lang w:val="en-US"/>
        </w:rPr>
        <w:t xml:space="preserve"> et al., 2020). Explaining human behavior in everyday circumstances and in contexts such as disasters is highly complex and requires substantial analytical effort. Attitudes toward a specific behavior are formed </w:t>
      </w:r>
      <w:proofErr w:type="gramStart"/>
      <w:r w:rsidRPr="006020DF">
        <w:rPr>
          <w:rFonts w:ascii="Times New Roman" w:hAnsi="Times New Roman" w:cs="Times New Roman"/>
          <w:sz w:val="24"/>
          <w:szCs w:val="24"/>
          <w:lang w:val="en-US"/>
        </w:rPr>
        <w:t>on the basis of</w:t>
      </w:r>
      <w:proofErr w:type="gramEnd"/>
      <w:r w:rsidRPr="006020DF">
        <w:rPr>
          <w:rFonts w:ascii="Times New Roman" w:hAnsi="Times New Roman" w:cs="Times New Roman"/>
          <w:sz w:val="24"/>
          <w:szCs w:val="24"/>
          <w:lang w:val="en-US"/>
        </w:rPr>
        <w:t xml:space="preserve"> particular beliefs about that behavior.</w:t>
      </w:r>
    </w:p>
    <w:p w14:paraId="20793849" w14:textId="77777777" w:rsidR="00365186" w:rsidRPr="006020DF" w:rsidRDefault="00A562F7" w:rsidP="00365186">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Another important predictor of behavioral intention is subjective norm</w:t>
      </w:r>
      <w:r w:rsidR="00E24DD9" w:rsidRPr="006020DF">
        <w:rPr>
          <w:rFonts w:ascii="Times New Roman" w:hAnsi="Times New Roman" w:cs="Times New Roman"/>
          <w:sz w:val="24"/>
          <w:szCs w:val="24"/>
          <w:lang w:val="en-US"/>
        </w:rPr>
        <w:t xml:space="preserve">, </w:t>
      </w:r>
      <w:r w:rsidRPr="006020DF">
        <w:rPr>
          <w:rFonts w:ascii="Times New Roman" w:hAnsi="Times New Roman" w:cs="Times New Roman"/>
          <w:sz w:val="24"/>
          <w:szCs w:val="24"/>
          <w:lang w:val="en-US"/>
        </w:rPr>
        <w:t xml:space="preserve">defined as individuals’ perceptions of social pressure regarding whether a specific behavior should be </w:t>
      </w:r>
      <w:r w:rsidRPr="006020DF">
        <w:rPr>
          <w:rFonts w:ascii="Times New Roman" w:hAnsi="Times New Roman" w:cs="Times New Roman"/>
          <w:sz w:val="24"/>
          <w:szCs w:val="24"/>
          <w:lang w:val="en-US"/>
        </w:rPr>
        <w:lastRenderedPageBreak/>
        <w:t xml:space="preserve">performed </w:t>
      </w:r>
      <w:r w:rsidR="00E24DD9" w:rsidRPr="006020DF">
        <w:rPr>
          <w:rFonts w:ascii="Times New Roman" w:hAnsi="Times New Roman" w:cs="Times New Roman"/>
          <w:sz w:val="24"/>
          <w:szCs w:val="24"/>
          <w:lang w:val="en-US"/>
        </w:rPr>
        <w:t>(Conner &amp; Armitage, 1998). Subjective norms represent the influence that the social environment exerts on an individual’s behavior and depend on the importance the individual assigns to the opinions of others. A significant variable in the theory is perceived behavioral control, which relates to an individual’s perception of their ability to carry out a given behavior and of the presence or absence of necessary resources (</w:t>
      </w:r>
      <w:proofErr w:type="spellStart"/>
      <w:r w:rsidR="00E24DD9" w:rsidRPr="006020DF">
        <w:rPr>
          <w:rFonts w:ascii="Times New Roman" w:hAnsi="Times New Roman" w:cs="Times New Roman"/>
          <w:sz w:val="24"/>
          <w:szCs w:val="24"/>
          <w:lang w:val="en-US"/>
        </w:rPr>
        <w:t>Montaño</w:t>
      </w:r>
      <w:proofErr w:type="spellEnd"/>
      <w:r w:rsidR="00E24DD9" w:rsidRPr="006020DF">
        <w:rPr>
          <w:rFonts w:ascii="Times New Roman" w:hAnsi="Times New Roman" w:cs="Times New Roman"/>
          <w:sz w:val="24"/>
          <w:szCs w:val="24"/>
          <w:lang w:val="en-US"/>
        </w:rPr>
        <w:t xml:space="preserve"> &amp; </w:t>
      </w:r>
      <w:proofErr w:type="spellStart"/>
      <w:r w:rsidR="00E24DD9" w:rsidRPr="006020DF">
        <w:rPr>
          <w:rFonts w:ascii="Times New Roman" w:hAnsi="Times New Roman" w:cs="Times New Roman"/>
          <w:sz w:val="24"/>
          <w:szCs w:val="24"/>
          <w:lang w:val="en-US"/>
        </w:rPr>
        <w:t>Kasprzyk</w:t>
      </w:r>
      <w:proofErr w:type="spellEnd"/>
      <w:r w:rsidR="00E24DD9" w:rsidRPr="006020DF">
        <w:rPr>
          <w:rFonts w:ascii="Times New Roman" w:hAnsi="Times New Roman" w:cs="Times New Roman"/>
          <w:sz w:val="24"/>
          <w:szCs w:val="24"/>
          <w:lang w:val="en-US"/>
        </w:rPr>
        <w:t xml:space="preserve">, 2015). </w:t>
      </w:r>
    </w:p>
    <w:p w14:paraId="5DE75C1C" w14:textId="2F2F643C" w:rsidR="00E24DD9" w:rsidRPr="006020DF" w:rsidRDefault="00365186" w:rsidP="00365186">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Perceived behavioral control may be understood as individuals’ assessment of how easy or difficult it is to carry out a planned behavior, recognizing that perceived resource constraints can limit motivation even in the presence of social support. Within this framework, it consists of two interrelated components</w:t>
      </w:r>
      <w:r w:rsidR="00E24DD9" w:rsidRPr="006020DF">
        <w:rPr>
          <w:rFonts w:ascii="Times New Roman" w:hAnsi="Times New Roman" w:cs="Times New Roman"/>
          <w:sz w:val="24"/>
          <w:szCs w:val="24"/>
          <w:lang w:val="en-US"/>
        </w:rPr>
        <w:t xml:space="preserve">: perceived controllability (the perceived ability to control the behavior) and perceived self-efficacy (confidence in one’s own abilities). It also explains how certain factors (personal, demographic, and environmental) influence behavior through their effects on behavioral beliefs, perceived control, subjective norms, and related constructs (Ajzen et al., 2011). TPB further emphasizes that there is a mutual interaction among these factors (attitudes, intention, and perceived behavioral control) (Ajzen et al., 2011). </w:t>
      </w:r>
      <w:r w:rsidRPr="006020DF">
        <w:rPr>
          <w:rFonts w:ascii="Times New Roman" w:hAnsi="Times New Roman" w:cs="Times New Roman"/>
          <w:sz w:val="24"/>
          <w:szCs w:val="24"/>
          <w:lang w:val="en-US"/>
        </w:rPr>
        <w:t>More specifically</w:t>
      </w:r>
      <w:r w:rsidR="00E24DD9" w:rsidRPr="006020DF">
        <w:rPr>
          <w:rFonts w:ascii="Times New Roman" w:hAnsi="Times New Roman" w:cs="Times New Roman"/>
          <w:sz w:val="24"/>
          <w:szCs w:val="24"/>
          <w:lang w:val="en-US"/>
        </w:rPr>
        <w:t xml:space="preserve">, </w:t>
      </w:r>
      <w:r w:rsidR="006F47E4" w:rsidRPr="006020DF">
        <w:rPr>
          <w:rFonts w:ascii="Times New Roman" w:hAnsi="Times New Roman" w:cs="Times New Roman"/>
          <w:sz w:val="24"/>
          <w:szCs w:val="24"/>
          <w:lang w:val="en-US"/>
        </w:rPr>
        <w:t>th</w:t>
      </w:r>
      <w:r w:rsidRPr="006020DF">
        <w:rPr>
          <w:rFonts w:ascii="Times New Roman" w:hAnsi="Times New Roman" w:cs="Times New Roman"/>
          <w:sz w:val="24"/>
          <w:szCs w:val="24"/>
          <w:lang w:val="en-US"/>
        </w:rPr>
        <w:t xml:space="preserve">e influence of attitudes and subjective norms on intention is </w:t>
      </w:r>
      <w:r w:rsidR="00E24DD9" w:rsidRPr="006020DF">
        <w:rPr>
          <w:rFonts w:ascii="Times New Roman" w:hAnsi="Times New Roman" w:cs="Times New Roman"/>
          <w:sz w:val="24"/>
          <w:szCs w:val="24"/>
          <w:lang w:val="en-US"/>
        </w:rPr>
        <w:t xml:space="preserve">moderated by perceived behavioral control. </w:t>
      </w:r>
      <w:proofErr w:type="gramStart"/>
      <w:r w:rsidR="00E24DD9" w:rsidRPr="006020DF">
        <w:rPr>
          <w:rFonts w:ascii="Times New Roman" w:hAnsi="Times New Roman" w:cs="Times New Roman"/>
          <w:sz w:val="24"/>
          <w:szCs w:val="24"/>
          <w:lang w:val="en-US"/>
        </w:rPr>
        <w:t>As a general rule</w:t>
      </w:r>
      <w:proofErr w:type="gramEnd"/>
      <w:r w:rsidR="00E24DD9" w:rsidRPr="006020DF">
        <w:rPr>
          <w:rFonts w:ascii="Times New Roman" w:hAnsi="Times New Roman" w:cs="Times New Roman"/>
          <w:sz w:val="24"/>
          <w:szCs w:val="24"/>
          <w:lang w:val="en-US"/>
        </w:rPr>
        <w:t>, the more favorable the attitude and subjective norm, and the greater the perceived control, the stronger the individual’s intention to perform the behavior.</w:t>
      </w:r>
    </w:p>
    <w:p w14:paraId="70EBE7BB" w14:textId="1D3B274F" w:rsidR="00E24DD9" w:rsidRPr="006020DF" w:rsidRDefault="00E24DD9" w:rsidP="00E24DD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 xml:space="preserve">Finally, </w:t>
      </w:r>
      <w:r w:rsidR="00365186" w:rsidRPr="006020DF">
        <w:rPr>
          <w:rFonts w:ascii="Times New Roman" w:hAnsi="Times New Roman" w:cs="Times New Roman"/>
          <w:sz w:val="24"/>
          <w:szCs w:val="24"/>
          <w:lang w:val="en-US"/>
        </w:rPr>
        <w:t xml:space="preserve">when individuals possess a sufficient level of actual behavioral control, they are expected to translate their intentions into action as opportunities arise. Accordingly, intention is considered the most immediate antecedent of behavior. To the extent that perceived behavioral control accurately reflects actual control, it may function as a proxy for actual control and enhance the prediction of the behavior. </w:t>
      </w:r>
      <w:r w:rsidRPr="006020DF">
        <w:rPr>
          <w:rFonts w:ascii="Times New Roman" w:hAnsi="Times New Roman" w:cs="Times New Roman"/>
          <w:sz w:val="24"/>
          <w:szCs w:val="24"/>
          <w:lang w:val="en-US"/>
        </w:rPr>
        <w:t>In this regard, TPB can be considered highly effective in predicting human behavior in specific contexts. It enables researchers to anticipate how people will respond to certain changes in the external environment and, in turn, identify ways to improve their responses.</w:t>
      </w:r>
    </w:p>
    <w:p w14:paraId="2525F688" w14:textId="77777777" w:rsidR="00E24DD9" w:rsidRPr="006020DF" w:rsidRDefault="00E24DD9" w:rsidP="00E24DD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 xml:space="preserve">However, explaining decision-making regarding the adoption of preventive measures—as a distinct phase of disaster risk management—can be highly complex and approached from multiple perspectives (Ajzen et al., 2011; Armitage &amp; Conner, 2001; </w:t>
      </w:r>
      <w:proofErr w:type="spellStart"/>
      <w:r w:rsidRPr="006020DF">
        <w:rPr>
          <w:rFonts w:ascii="Times New Roman" w:hAnsi="Times New Roman" w:cs="Times New Roman"/>
          <w:sz w:val="24"/>
          <w:szCs w:val="24"/>
          <w:lang w:val="en-US"/>
        </w:rPr>
        <w:t>Bosnjak</w:t>
      </w:r>
      <w:proofErr w:type="spellEnd"/>
      <w:r w:rsidRPr="006020DF">
        <w:rPr>
          <w:rFonts w:ascii="Times New Roman" w:hAnsi="Times New Roman" w:cs="Times New Roman"/>
          <w:sz w:val="24"/>
          <w:szCs w:val="24"/>
          <w:lang w:val="en-US"/>
        </w:rPr>
        <w:t xml:space="preserve"> et al., 2020). Given the strong theoretical value of TPB, many scholars have expanded the original model by including additional variables such as experience, habits, moral obligations, and desires. Ajzen (Ajzen et al., 2011) emphasizes that, apart from attitudes, subjective norms, and perceived behavioral control, the theory remains open to incorporating other variables that explain human behavior, provided they are sufficiently well-established through prior research (Ajzen, 2019; Ajzen et al., 2011; </w:t>
      </w:r>
      <w:proofErr w:type="spellStart"/>
      <w:r w:rsidRPr="006020DF">
        <w:rPr>
          <w:rFonts w:ascii="Times New Roman" w:hAnsi="Times New Roman" w:cs="Times New Roman"/>
          <w:sz w:val="24"/>
          <w:szCs w:val="24"/>
          <w:lang w:val="en-US"/>
        </w:rPr>
        <w:t>Bosnjak</w:t>
      </w:r>
      <w:proofErr w:type="spellEnd"/>
      <w:r w:rsidRPr="006020DF">
        <w:rPr>
          <w:rFonts w:ascii="Times New Roman" w:hAnsi="Times New Roman" w:cs="Times New Roman"/>
          <w:sz w:val="24"/>
          <w:szCs w:val="24"/>
          <w:lang w:val="en-US"/>
        </w:rPr>
        <w:t xml:space="preserve"> et al., 2020).</w:t>
      </w:r>
    </w:p>
    <w:p w14:paraId="1692EFE6" w14:textId="7E7E275F" w:rsidR="00E24DD9" w:rsidRPr="006020DF" w:rsidRDefault="00E24DD9" w:rsidP="00E24DD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 xml:space="preserve">It is also important to note that studies in disaster risk management highlight </w:t>
      </w:r>
      <w:proofErr w:type="gramStart"/>
      <w:r w:rsidRPr="006020DF">
        <w:rPr>
          <w:rFonts w:ascii="Times New Roman" w:hAnsi="Times New Roman" w:cs="Times New Roman"/>
          <w:sz w:val="24"/>
          <w:szCs w:val="24"/>
          <w:lang w:val="en-US"/>
        </w:rPr>
        <w:t>a number of</w:t>
      </w:r>
      <w:proofErr w:type="gramEnd"/>
      <w:r w:rsidRPr="006020DF">
        <w:rPr>
          <w:rFonts w:ascii="Times New Roman" w:hAnsi="Times New Roman" w:cs="Times New Roman"/>
          <w:sz w:val="24"/>
          <w:szCs w:val="24"/>
          <w:lang w:val="en-US"/>
        </w:rPr>
        <w:t xml:space="preserve"> psychological factors that may influence the failure to adopt preventive measures for earthquake</w:t>
      </w:r>
      <w:r w:rsidR="007C681E" w:rsidRPr="006020DF">
        <w:rPr>
          <w:rFonts w:ascii="Times New Roman" w:hAnsi="Times New Roman" w:cs="Times New Roman"/>
          <w:sz w:val="24"/>
          <w:szCs w:val="24"/>
          <w:lang w:val="en-US"/>
        </w:rPr>
        <w:t xml:space="preserve"> </w:t>
      </w:r>
      <w:r w:rsidRPr="006020DF">
        <w:rPr>
          <w:rFonts w:ascii="Times New Roman" w:hAnsi="Times New Roman" w:cs="Times New Roman"/>
          <w:sz w:val="24"/>
          <w:szCs w:val="24"/>
          <w:lang w:val="en-US"/>
        </w:rPr>
        <w:t xml:space="preserve">disasters. Among these factors, fatalism and locus of control are frequently mentioned (Rotter, 1992). Individuals who hold a fatalistic worldview believe that there is little point in </w:t>
      </w:r>
      <w:proofErr w:type="gramStart"/>
      <w:r w:rsidRPr="006020DF">
        <w:rPr>
          <w:rFonts w:ascii="Times New Roman" w:hAnsi="Times New Roman" w:cs="Times New Roman"/>
          <w:sz w:val="24"/>
          <w:szCs w:val="24"/>
          <w:lang w:val="en-US"/>
        </w:rPr>
        <w:t>taking action</w:t>
      </w:r>
      <w:proofErr w:type="gramEnd"/>
      <w:r w:rsidRPr="006020DF">
        <w:rPr>
          <w:rFonts w:ascii="Times New Roman" w:hAnsi="Times New Roman" w:cs="Times New Roman"/>
          <w:sz w:val="24"/>
          <w:szCs w:val="24"/>
          <w:lang w:val="en-US"/>
        </w:rPr>
        <w:t xml:space="preserve"> during disasters, as human efforts are perceived as powerless to change such situations. According to this perspective, intelligence and willpower cannot improve outcomes because all events—including human behavior—are seen as predetermined and inevitable.</w:t>
      </w:r>
    </w:p>
    <w:p w14:paraId="1E0A103E" w14:textId="77777777" w:rsidR="00E24DD9" w:rsidRPr="006020DF" w:rsidRDefault="00E24DD9" w:rsidP="00E24DD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 xml:space="preserve">Another psychological factor previously identified is the “locus of control,” first defined by the American psychologist Julian Rotter, who argued that people differ in their expectations regarding whether situations can be influenced by internal or external factors. According to Rotter, individuals with an external locus of control believe that they cannot personally influence events that happen to them; instead, other people or external circumstances are responsible for the outcomes (Rotter, 1966). Such individuals tend to view the strength of the community, government actions, luck, or fate as determinants of what happens in their lives. Conversely, individuals with an internal locus of control believe that they themselves are </w:t>
      </w:r>
      <w:r w:rsidRPr="006020DF">
        <w:rPr>
          <w:rFonts w:ascii="Times New Roman" w:hAnsi="Times New Roman" w:cs="Times New Roman"/>
          <w:sz w:val="24"/>
          <w:szCs w:val="24"/>
          <w:lang w:val="en-US"/>
        </w:rPr>
        <w:lastRenderedPageBreak/>
        <w:t>responsible for what occurs to them (Rotter, 1966). Consequently, people with an internal locus of control tend to make greater efforts to manage their circumstances compared to those with an external locus of control. Some researchers have gone further, suggesting that individuals with an internal locus of control are more motivated and proactive in overcoming obstacles, whereas those who believe that external forces or other people are responsible for their outcomes tend to be more passive and less motivated to engage in preventive actions (</w:t>
      </w:r>
      <w:proofErr w:type="spellStart"/>
      <w:r w:rsidRPr="006020DF">
        <w:rPr>
          <w:rFonts w:ascii="Times New Roman" w:hAnsi="Times New Roman" w:cs="Times New Roman"/>
          <w:sz w:val="24"/>
          <w:szCs w:val="24"/>
          <w:lang w:val="en-US"/>
        </w:rPr>
        <w:t>Beitel</w:t>
      </w:r>
      <w:proofErr w:type="spellEnd"/>
      <w:r w:rsidRPr="006020DF">
        <w:rPr>
          <w:rFonts w:ascii="Times New Roman" w:hAnsi="Times New Roman" w:cs="Times New Roman"/>
          <w:sz w:val="24"/>
          <w:szCs w:val="24"/>
          <w:lang w:val="en-US"/>
        </w:rPr>
        <w:t xml:space="preserve"> et al., 2005).</w:t>
      </w:r>
    </w:p>
    <w:p w14:paraId="490BAF9C" w14:textId="77777777" w:rsidR="00D52CAD" w:rsidRPr="006020DF" w:rsidRDefault="00D52CAD" w:rsidP="00D52CAD">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 xml:space="preserve">In addition to TPB, numerous models are also grounded in the Theory of Reasoned Action. Notably, the Protection Motivation Theory (Rogers, 1983) and the Person Relative to Event Theory (Duval &amp; </w:t>
      </w:r>
      <w:proofErr w:type="spellStart"/>
      <w:r w:rsidRPr="006020DF">
        <w:rPr>
          <w:rFonts w:ascii="Times New Roman" w:hAnsi="Times New Roman" w:cs="Times New Roman"/>
          <w:sz w:val="24"/>
          <w:szCs w:val="24"/>
          <w:lang w:val="en-US"/>
        </w:rPr>
        <w:t>Mulilis</w:t>
      </w:r>
      <w:proofErr w:type="spellEnd"/>
      <w:r w:rsidRPr="006020DF">
        <w:rPr>
          <w:rFonts w:ascii="Times New Roman" w:hAnsi="Times New Roman" w:cs="Times New Roman"/>
          <w:sz w:val="24"/>
          <w:szCs w:val="24"/>
          <w:lang w:val="en-US"/>
        </w:rPr>
        <w:t xml:space="preserve">, 1999; </w:t>
      </w:r>
      <w:proofErr w:type="spellStart"/>
      <w:r w:rsidRPr="006020DF">
        <w:rPr>
          <w:rFonts w:ascii="Times New Roman" w:hAnsi="Times New Roman" w:cs="Times New Roman"/>
          <w:sz w:val="24"/>
          <w:szCs w:val="24"/>
          <w:lang w:val="en-US"/>
        </w:rPr>
        <w:t>Mulilis</w:t>
      </w:r>
      <w:proofErr w:type="spellEnd"/>
      <w:r w:rsidRPr="006020DF">
        <w:rPr>
          <w:rFonts w:ascii="Times New Roman" w:hAnsi="Times New Roman" w:cs="Times New Roman"/>
          <w:sz w:val="24"/>
          <w:szCs w:val="24"/>
          <w:lang w:val="en-US"/>
        </w:rPr>
        <w:t xml:space="preserve"> &amp; Duval, 1995; </w:t>
      </w:r>
      <w:proofErr w:type="spellStart"/>
      <w:r w:rsidRPr="006020DF">
        <w:rPr>
          <w:rFonts w:ascii="Times New Roman" w:hAnsi="Times New Roman" w:cs="Times New Roman"/>
          <w:sz w:val="24"/>
          <w:szCs w:val="24"/>
          <w:lang w:val="en-US"/>
        </w:rPr>
        <w:t>Mulilis</w:t>
      </w:r>
      <w:proofErr w:type="spellEnd"/>
      <w:r w:rsidRPr="006020DF">
        <w:rPr>
          <w:rFonts w:ascii="Times New Roman" w:hAnsi="Times New Roman" w:cs="Times New Roman"/>
          <w:sz w:val="24"/>
          <w:szCs w:val="24"/>
          <w:lang w:val="en-US"/>
        </w:rPr>
        <w:t>, 1996) are frequently cited. Both models represent cognitive frameworks that focus on aspects such as perceived probability, severity, self-efficacy, expectations, and responsibility for protection. Alongside these theories, Lindell and Perry (2000, 2012) emphasize the importance of social context within their Protective Action Decision Model, although they do not elaborate in detail on the nature of these influences. Paton and colleagues (Paton, 2001; Paton et al., 2006) developed a more comprehensive model that incorporates social influences within the preparedness process, partially identifying key social characteristics to which individuals must be exposed, such as trust, community involvement, problem articulation, and empowerment.</w:t>
      </w:r>
    </w:p>
    <w:p w14:paraId="2C8022E7" w14:textId="77777777" w:rsidR="00D52CAD" w:rsidRPr="006020DF" w:rsidRDefault="00D52CAD" w:rsidP="00D52CAD">
      <w:pPr>
        <w:spacing w:after="0" w:line="240" w:lineRule="auto"/>
        <w:ind w:firstLine="567"/>
        <w:jc w:val="both"/>
        <w:rPr>
          <w:rFonts w:ascii="Times New Roman" w:hAnsi="Times New Roman" w:cs="Times New Roman"/>
          <w:sz w:val="24"/>
          <w:szCs w:val="24"/>
          <w:lang w:val="en-US"/>
        </w:rPr>
      </w:pPr>
    </w:p>
    <w:p w14:paraId="40100AFE" w14:textId="12B02EC4" w:rsidR="00021438" w:rsidRPr="006020DF" w:rsidRDefault="000E0CA9" w:rsidP="009D1191">
      <w:pPr>
        <w:spacing w:after="0" w:line="240" w:lineRule="auto"/>
        <w:ind w:firstLine="567"/>
        <w:jc w:val="center"/>
        <w:rPr>
          <w:rFonts w:ascii="Times New Roman" w:hAnsi="Times New Roman" w:cs="Times New Roman"/>
          <w:b/>
          <w:bCs/>
          <w:sz w:val="24"/>
          <w:szCs w:val="24"/>
          <w:lang w:val="en-US"/>
        </w:rPr>
      </w:pPr>
      <w:r w:rsidRPr="006020DF">
        <w:rPr>
          <w:rFonts w:ascii="Times New Roman" w:hAnsi="Times New Roman" w:cs="Times New Roman"/>
          <w:b/>
          <w:bCs/>
          <w:sz w:val="24"/>
          <w:szCs w:val="24"/>
          <w:lang w:val="en-US"/>
        </w:rPr>
        <w:t>Understanding Preparedness</w:t>
      </w:r>
    </w:p>
    <w:p w14:paraId="2B07BA3A" w14:textId="77777777" w:rsidR="000E0CA9" w:rsidRPr="006020DF" w:rsidRDefault="000E0CA9" w:rsidP="00870D48">
      <w:pPr>
        <w:spacing w:after="0" w:line="240" w:lineRule="auto"/>
        <w:ind w:firstLine="567"/>
        <w:jc w:val="both"/>
        <w:rPr>
          <w:rFonts w:ascii="Times New Roman" w:hAnsi="Times New Roman" w:cs="Times New Roman"/>
          <w:sz w:val="24"/>
          <w:szCs w:val="24"/>
          <w:lang w:val="en-US"/>
        </w:rPr>
      </w:pPr>
    </w:p>
    <w:p w14:paraId="5A8AC893" w14:textId="5314F721" w:rsidR="00D52CAD" w:rsidRPr="006020DF" w:rsidRDefault="00F67760" w:rsidP="00D52CAD">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 xml:space="preserve">Preparedness refers to the actions and measures implemented prior to a disaster </w:t>
      </w:r>
      <w:proofErr w:type="gramStart"/>
      <w:r w:rsidRPr="006020DF">
        <w:rPr>
          <w:rFonts w:ascii="Times New Roman" w:hAnsi="Times New Roman" w:cs="Times New Roman"/>
          <w:sz w:val="24"/>
          <w:szCs w:val="24"/>
          <w:lang w:val="en-US"/>
        </w:rPr>
        <w:t>in order to</w:t>
      </w:r>
      <w:proofErr w:type="gramEnd"/>
      <w:r w:rsidRPr="006020DF">
        <w:rPr>
          <w:rFonts w:ascii="Times New Roman" w:hAnsi="Times New Roman" w:cs="Times New Roman"/>
          <w:sz w:val="24"/>
          <w:szCs w:val="24"/>
          <w:lang w:val="en-US"/>
        </w:rPr>
        <w:t xml:space="preserve"> enable an effective response to its destructive impacts</w:t>
      </w:r>
      <w:r w:rsidR="00D52CAD" w:rsidRPr="006020DF">
        <w:rPr>
          <w:rFonts w:ascii="Times New Roman" w:hAnsi="Times New Roman" w:cs="Times New Roman"/>
          <w:sz w:val="24"/>
          <w:szCs w:val="24"/>
          <w:lang w:val="en-US"/>
        </w:rPr>
        <w:t>. More precisely, these are activities that guarantee that the resources required for an efficient response are available before a disaster occurs or can be quickly obtained when needed (Lindell &amp; Perry, 2000). Earthquake preparedness is considered an important means of mitigating risk (</w:t>
      </w:r>
      <w:proofErr w:type="spellStart"/>
      <w:r w:rsidR="00D52CAD" w:rsidRPr="006020DF">
        <w:rPr>
          <w:rFonts w:ascii="Times New Roman" w:hAnsi="Times New Roman" w:cs="Times New Roman"/>
          <w:sz w:val="24"/>
          <w:szCs w:val="24"/>
          <w:lang w:val="en-US"/>
        </w:rPr>
        <w:t>Jahangiri</w:t>
      </w:r>
      <w:proofErr w:type="spellEnd"/>
      <w:r w:rsidR="00D52CAD" w:rsidRPr="006020DF">
        <w:rPr>
          <w:rFonts w:ascii="Times New Roman" w:hAnsi="Times New Roman" w:cs="Times New Roman"/>
          <w:sz w:val="24"/>
          <w:szCs w:val="24"/>
          <w:lang w:val="en-US"/>
        </w:rPr>
        <w:t xml:space="preserve">, 2010). Accordingly, preparedness is defined as a necessary strategy implemented prior to an earthquake, aimed at preventing harm and casualties during seismic events. Preparedness actions include collecting essential survival items (e.g., food, water, flashlight, radio, and medications), developing household plans for what to do in the event of an earthquake, undertaking mitigation measures (e.g., retrofitting buildings and securing objects within the home), developing individual survival skills, and engaging in community actions related to earthquake preparedness (Kirschenbaum, 2002, 2004; </w:t>
      </w:r>
      <w:proofErr w:type="spellStart"/>
      <w:r w:rsidR="00D52CAD" w:rsidRPr="006020DF">
        <w:rPr>
          <w:rFonts w:ascii="Times New Roman" w:hAnsi="Times New Roman" w:cs="Times New Roman"/>
          <w:sz w:val="24"/>
          <w:szCs w:val="24"/>
          <w:lang w:val="en-US"/>
        </w:rPr>
        <w:t>Mulilis</w:t>
      </w:r>
      <w:proofErr w:type="spellEnd"/>
      <w:r w:rsidR="00D52CAD" w:rsidRPr="006020DF">
        <w:rPr>
          <w:rFonts w:ascii="Times New Roman" w:hAnsi="Times New Roman" w:cs="Times New Roman"/>
          <w:sz w:val="24"/>
          <w:szCs w:val="24"/>
          <w:lang w:val="en-US"/>
        </w:rPr>
        <w:t xml:space="preserve"> et al., 2000; </w:t>
      </w:r>
      <w:proofErr w:type="spellStart"/>
      <w:r w:rsidR="00D52CAD" w:rsidRPr="006020DF">
        <w:rPr>
          <w:rFonts w:ascii="Times New Roman" w:hAnsi="Times New Roman" w:cs="Times New Roman"/>
          <w:sz w:val="24"/>
          <w:szCs w:val="24"/>
          <w:lang w:val="en-US"/>
        </w:rPr>
        <w:t>Spittal</w:t>
      </w:r>
      <w:proofErr w:type="spellEnd"/>
      <w:r w:rsidR="00D52CAD" w:rsidRPr="006020DF">
        <w:rPr>
          <w:rFonts w:ascii="Times New Roman" w:hAnsi="Times New Roman" w:cs="Times New Roman"/>
          <w:sz w:val="24"/>
          <w:szCs w:val="24"/>
          <w:lang w:val="en-US"/>
        </w:rPr>
        <w:t xml:space="preserve"> et al., 2008).</w:t>
      </w:r>
    </w:p>
    <w:p w14:paraId="193D82F3" w14:textId="0742590F" w:rsidR="00D52CAD" w:rsidRPr="006020DF" w:rsidRDefault="00D52CAD" w:rsidP="00D52CAD">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 xml:space="preserve">The disaster risk management literature shows broad consensus regarding the types of measures needed to enhance preparedness levels (Bruneau et al., 2003; Edwards, 1993). These include: essential survival measures (possessing a three-day supply of </w:t>
      </w:r>
      <w:r w:rsidR="00F67760" w:rsidRPr="006020DF">
        <w:rPr>
          <w:rFonts w:ascii="Times New Roman" w:hAnsi="Times New Roman" w:cs="Times New Roman"/>
          <w:sz w:val="24"/>
          <w:szCs w:val="24"/>
          <w:lang w:val="en-US"/>
        </w:rPr>
        <w:t xml:space="preserve">water </w:t>
      </w:r>
      <w:r w:rsidRPr="006020DF">
        <w:rPr>
          <w:rFonts w:ascii="Times New Roman" w:hAnsi="Times New Roman" w:cs="Times New Roman"/>
          <w:sz w:val="24"/>
          <w:szCs w:val="24"/>
          <w:lang w:val="en-US"/>
        </w:rPr>
        <w:t xml:space="preserve">and </w:t>
      </w:r>
      <w:r w:rsidR="00F67760" w:rsidRPr="006020DF">
        <w:rPr>
          <w:rFonts w:ascii="Times New Roman" w:hAnsi="Times New Roman" w:cs="Times New Roman"/>
          <w:sz w:val="24"/>
          <w:szCs w:val="24"/>
          <w:lang w:val="en-US"/>
        </w:rPr>
        <w:t>food</w:t>
      </w:r>
      <w:r w:rsidRPr="006020DF">
        <w:rPr>
          <w:rFonts w:ascii="Times New Roman" w:hAnsi="Times New Roman" w:cs="Times New Roman"/>
          <w:sz w:val="24"/>
          <w:szCs w:val="24"/>
          <w:lang w:val="en-US"/>
        </w:rPr>
        <w:t>, a flashlight, operated radio, spare batteries, fire extinguisher, smoke detector, first-aid kit, main water, gas, and electricity shutoff valves, tools, etc.); mitigation actions (</w:t>
      </w:r>
      <w:r w:rsidR="00F67760" w:rsidRPr="006020DF">
        <w:rPr>
          <w:rFonts w:ascii="Times New Roman" w:hAnsi="Times New Roman" w:cs="Times New Roman"/>
          <w:sz w:val="24"/>
          <w:szCs w:val="24"/>
          <w:lang w:val="en-US"/>
        </w:rPr>
        <w:t xml:space="preserve">including </w:t>
      </w:r>
      <w:r w:rsidRPr="006020DF">
        <w:rPr>
          <w:rFonts w:ascii="Times New Roman" w:hAnsi="Times New Roman" w:cs="Times New Roman"/>
          <w:sz w:val="24"/>
          <w:szCs w:val="24"/>
          <w:lang w:val="en-US"/>
        </w:rPr>
        <w:t>securing objects to walls and ceilings; reinforcing interior structures; storing heavy items on the floor or lower shelves; keeping water containers away from electrical devices; strengthening roofs and chimneys); preparedness plans (contact information for emergency services, family evacuation plans, procedures for different types of disasters); skills (knowledge of appropriate response actions, first-aid training); and social activities (membership in relevant relief organizations; attending community meetings on various hazards).</w:t>
      </w:r>
    </w:p>
    <w:p w14:paraId="7FFE1CCF" w14:textId="729F2CDE" w:rsidR="00021438" w:rsidRDefault="00D52CAD" w:rsidP="00870D48">
      <w:pPr>
        <w:spacing w:after="0" w:line="240" w:lineRule="auto"/>
        <w:ind w:firstLine="567"/>
        <w:jc w:val="both"/>
        <w:rPr>
          <w:rFonts w:ascii="Times New Roman" w:hAnsi="Times New Roman" w:cs="Times New Roman"/>
          <w:sz w:val="24"/>
          <w:szCs w:val="24"/>
          <w:lang w:val="sr-Cyrl-RS"/>
        </w:rPr>
      </w:pPr>
      <w:r w:rsidRPr="006020DF">
        <w:rPr>
          <w:rFonts w:ascii="Times New Roman" w:hAnsi="Times New Roman" w:cs="Times New Roman"/>
          <w:sz w:val="24"/>
          <w:szCs w:val="24"/>
          <w:lang w:val="en-US"/>
        </w:rPr>
        <w:t xml:space="preserve">However, an individual’s ability and intention to prepare for, respond to, and recover from a disaster depend on multiple factors that often lie outside personal control. The severity and duration of the event, the effectiveness of early warning systems, the individual’s health status, and access to information sources are among the key factors influencing response capacity and recovery (Fernandez et al., 2002). </w:t>
      </w:r>
      <w:r w:rsidR="003A4402" w:rsidRPr="006020DF">
        <w:rPr>
          <w:rFonts w:ascii="Times New Roman" w:hAnsi="Times New Roman" w:cs="Times New Roman"/>
          <w:sz w:val="24"/>
          <w:szCs w:val="24"/>
          <w:lang w:val="en-US"/>
        </w:rPr>
        <w:t xml:space="preserve">A further challenge concerns the need to ensure </w:t>
      </w:r>
      <w:r w:rsidR="003A4402" w:rsidRPr="006020DF">
        <w:rPr>
          <w:rFonts w:ascii="Times New Roman" w:hAnsi="Times New Roman" w:cs="Times New Roman"/>
          <w:sz w:val="24"/>
          <w:szCs w:val="24"/>
          <w:lang w:val="en-US"/>
        </w:rPr>
        <w:lastRenderedPageBreak/>
        <w:t>that preparedness measures are continuously maintained and updated by individuals over time (e.g., through the replenishment of food and water supplies and the availability of batteries).</w:t>
      </w:r>
    </w:p>
    <w:p w14:paraId="00C193E7" w14:textId="77777777" w:rsidR="00CF3423" w:rsidRPr="00CF3423" w:rsidRDefault="00CF3423" w:rsidP="00870D48">
      <w:pPr>
        <w:spacing w:after="0" w:line="240" w:lineRule="auto"/>
        <w:ind w:firstLine="567"/>
        <w:jc w:val="both"/>
        <w:rPr>
          <w:rFonts w:ascii="Times New Roman" w:hAnsi="Times New Roman" w:cs="Times New Roman"/>
          <w:b/>
          <w:bCs/>
          <w:sz w:val="24"/>
          <w:szCs w:val="24"/>
          <w:lang w:val="sr-Cyrl-RS"/>
        </w:rPr>
      </w:pPr>
    </w:p>
    <w:p w14:paraId="4A4535B2" w14:textId="06331DEF" w:rsidR="000F2E64" w:rsidRPr="006020DF" w:rsidRDefault="009D1191" w:rsidP="009D1191">
      <w:pPr>
        <w:spacing w:after="0" w:line="240" w:lineRule="auto"/>
        <w:ind w:firstLine="567"/>
        <w:jc w:val="center"/>
        <w:rPr>
          <w:rFonts w:ascii="Times New Roman" w:hAnsi="Times New Roman" w:cs="Times New Roman"/>
          <w:i/>
          <w:iCs/>
          <w:sz w:val="24"/>
          <w:szCs w:val="24"/>
          <w:lang w:val="en-US"/>
        </w:rPr>
      </w:pPr>
      <w:r w:rsidRPr="006020DF">
        <w:rPr>
          <w:rFonts w:ascii="Times New Roman" w:hAnsi="Times New Roman" w:cs="Times New Roman"/>
          <w:i/>
          <w:iCs/>
          <w:sz w:val="24"/>
          <w:szCs w:val="24"/>
          <w:lang w:val="en-US"/>
        </w:rPr>
        <w:t>VARIABLES AS PREDICTORS OF BEHAVIOR</w:t>
      </w:r>
    </w:p>
    <w:p w14:paraId="53CEBA47" w14:textId="77777777" w:rsidR="00021438" w:rsidRPr="006020DF" w:rsidRDefault="00021438" w:rsidP="00870D48">
      <w:pPr>
        <w:spacing w:after="0" w:line="240" w:lineRule="auto"/>
        <w:ind w:firstLine="567"/>
        <w:jc w:val="both"/>
        <w:rPr>
          <w:rFonts w:ascii="Times New Roman" w:hAnsi="Times New Roman" w:cs="Times New Roman"/>
          <w:sz w:val="24"/>
          <w:szCs w:val="24"/>
          <w:lang w:val="en-US"/>
        </w:rPr>
      </w:pPr>
    </w:p>
    <w:p w14:paraId="4694B82D" w14:textId="77777777" w:rsidR="000E0CA9" w:rsidRPr="006020DF" w:rsidRDefault="000E0CA9" w:rsidP="000E0CA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Human behavior prior to an earthquake and decision-making related to undertaking preventive measures are influenced by various personal and environmental factors (</w:t>
      </w:r>
      <w:proofErr w:type="spellStart"/>
      <w:r w:rsidRPr="006020DF">
        <w:rPr>
          <w:rFonts w:ascii="Times New Roman" w:hAnsi="Times New Roman" w:cs="Times New Roman"/>
          <w:sz w:val="24"/>
          <w:szCs w:val="24"/>
          <w:lang w:val="en-US"/>
        </w:rPr>
        <w:t>Krishnaraj</w:t>
      </w:r>
      <w:proofErr w:type="spellEnd"/>
      <w:r w:rsidRPr="006020DF">
        <w:rPr>
          <w:rFonts w:ascii="Times New Roman" w:hAnsi="Times New Roman" w:cs="Times New Roman"/>
          <w:sz w:val="24"/>
          <w:szCs w:val="24"/>
          <w:lang w:val="en-US"/>
        </w:rPr>
        <w:t xml:space="preserve">, 1997; Lindell &amp; Perry, 2000, 2012; Major, 1999; </w:t>
      </w:r>
      <w:proofErr w:type="spellStart"/>
      <w:r w:rsidRPr="006020DF">
        <w:rPr>
          <w:rFonts w:ascii="Times New Roman" w:hAnsi="Times New Roman" w:cs="Times New Roman"/>
          <w:sz w:val="24"/>
          <w:szCs w:val="24"/>
          <w:lang w:val="en-US"/>
        </w:rPr>
        <w:t>Mileti</w:t>
      </w:r>
      <w:proofErr w:type="spellEnd"/>
      <w:r w:rsidRPr="006020DF">
        <w:rPr>
          <w:rFonts w:ascii="Times New Roman" w:hAnsi="Times New Roman" w:cs="Times New Roman"/>
          <w:sz w:val="24"/>
          <w:szCs w:val="24"/>
          <w:lang w:val="en-US"/>
        </w:rPr>
        <w:t xml:space="preserve"> &amp; Darlington, 1995; Osaki &amp; Minowa, 2001). Previous studies have shown that variables such as gender, risk perception, age, marital status, level of education, economic status, and home ownership are associated with undertaking preventive measures in the event of an earthquake (Dooley et al., 1992; Roces et al., 1992; </w:t>
      </w:r>
      <w:proofErr w:type="spellStart"/>
      <w:r w:rsidRPr="006020DF">
        <w:rPr>
          <w:rFonts w:ascii="Times New Roman" w:hAnsi="Times New Roman" w:cs="Times New Roman"/>
          <w:sz w:val="24"/>
          <w:szCs w:val="24"/>
          <w:lang w:val="en-US"/>
        </w:rPr>
        <w:t>Tekeli-Yeşil</w:t>
      </w:r>
      <w:proofErr w:type="spellEnd"/>
      <w:r w:rsidRPr="006020DF">
        <w:rPr>
          <w:rFonts w:ascii="Times New Roman" w:hAnsi="Times New Roman" w:cs="Times New Roman"/>
          <w:sz w:val="24"/>
          <w:szCs w:val="24"/>
          <w:lang w:val="en-US"/>
        </w:rPr>
        <w:t xml:space="preserve"> et al., 2011). Regarding the influence of risk perception on decision-making related to preventive measures in earthquake-related emergencies, existing research findings are inconsistent. For instance, Solberg and colleagues (Solberg et al., 2010) found a very weak association between household preparedness for responding to earthquake emergencies and risk perception.</w:t>
      </w:r>
    </w:p>
    <w:p w14:paraId="526A82EB" w14:textId="77777777" w:rsidR="000E0CA9" w:rsidRPr="006020DF" w:rsidRDefault="000E0CA9" w:rsidP="000E0CA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In other studies, risk perception is considered an important determinant of risk-related behavior and a basis for decision-making in risk management (Lindell, 2013; Lindell &amp; Perry, 2000). Perceptions are regarded as important factors influencing how individuals react and respond to danger. Ge and colleagues note that risk perception is a significant predictor influencing behavior (mitigation or preparedness) (Ge et al., 2011). Gender differences in decision-making related to preventive measures in the case of earthquakes are often associated with social stereotypes (</w:t>
      </w:r>
      <w:proofErr w:type="spellStart"/>
      <w:r w:rsidRPr="006020DF">
        <w:rPr>
          <w:rFonts w:ascii="Times New Roman" w:hAnsi="Times New Roman" w:cs="Times New Roman"/>
          <w:sz w:val="24"/>
          <w:szCs w:val="24"/>
          <w:lang w:val="en-US"/>
        </w:rPr>
        <w:t>Mulilis</w:t>
      </w:r>
      <w:proofErr w:type="spellEnd"/>
      <w:r w:rsidRPr="006020DF">
        <w:rPr>
          <w:rFonts w:ascii="Times New Roman" w:hAnsi="Times New Roman" w:cs="Times New Roman"/>
          <w:sz w:val="24"/>
          <w:szCs w:val="24"/>
          <w:lang w:val="en-US"/>
        </w:rPr>
        <w:t>, 1999). However, some empirical research indicates that women, compared to men, generally exhibit higher risk perception (</w:t>
      </w:r>
      <w:proofErr w:type="spellStart"/>
      <w:r w:rsidRPr="006020DF">
        <w:rPr>
          <w:rFonts w:ascii="Times New Roman" w:hAnsi="Times New Roman" w:cs="Times New Roman"/>
          <w:sz w:val="24"/>
          <w:szCs w:val="24"/>
          <w:lang w:val="en-US"/>
        </w:rPr>
        <w:t>Fothergill</w:t>
      </w:r>
      <w:proofErr w:type="spellEnd"/>
      <w:r w:rsidRPr="006020DF">
        <w:rPr>
          <w:rFonts w:ascii="Times New Roman" w:hAnsi="Times New Roman" w:cs="Times New Roman"/>
          <w:sz w:val="24"/>
          <w:szCs w:val="24"/>
          <w:lang w:val="en-US"/>
        </w:rPr>
        <w:t xml:space="preserve">, 1996; Greenberg &amp; Schneider, 1995; </w:t>
      </w:r>
      <w:proofErr w:type="spellStart"/>
      <w:r w:rsidRPr="006020DF">
        <w:rPr>
          <w:rFonts w:ascii="Times New Roman" w:hAnsi="Times New Roman" w:cs="Times New Roman"/>
          <w:sz w:val="24"/>
          <w:szCs w:val="24"/>
          <w:lang w:val="en-US"/>
        </w:rPr>
        <w:t>Armaş</w:t>
      </w:r>
      <w:proofErr w:type="spellEnd"/>
      <w:r w:rsidRPr="006020DF">
        <w:rPr>
          <w:rFonts w:ascii="Times New Roman" w:hAnsi="Times New Roman" w:cs="Times New Roman"/>
          <w:sz w:val="24"/>
          <w:szCs w:val="24"/>
          <w:lang w:val="en-US"/>
        </w:rPr>
        <w:t>, 2006), which is partly explained by different cognitive responses to threat (</w:t>
      </w:r>
      <w:proofErr w:type="spellStart"/>
      <w:r w:rsidRPr="006020DF">
        <w:rPr>
          <w:rFonts w:ascii="Times New Roman" w:hAnsi="Times New Roman" w:cs="Times New Roman"/>
          <w:sz w:val="24"/>
          <w:szCs w:val="24"/>
          <w:lang w:val="en-US"/>
        </w:rPr>
        <w:t>Mulilis</w:t>
      </w:r>
      <w:proofErr w:type="spellEnd"/>
      <w:r w:rsidRPr="006020DF">
        <w:rPr>
          <w:rFonts w:ascii="Times New Roman" w:hAnsi="Times New Roman" w:cs="Times New Roman"/>
          <w:sz w:val="24"/>
          <w:szCs w:val="24"/>
          <w:lang w:val="en-US"/>
        </w:rPr>
        <w:t xml:space="preserve"> et al., 2000).</w:t>
      </w:r>
    </w:p>
    <w:p w14:paraId="5B2D52C7" w14:textId="77777777" w:rsidR="000E0CA9" w:rsidRPr="006020DF" w:rsidRDefault="000E0CA9" w:rsidP="000E0CA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Research by Gustafson (1998) showed that gender differences may manifest depending on the type of risk—women tend to be more concerned about environmental and health-related risks, whereas men react more strongly to physical safety and industrial accidents. There is also evidence that women possess a higher level of household preparedness for earthquakes (</w:t>
      </w:r>
      <w:proofErr w:type="spellStart"/>
      <w:r w:rsidRPr="006020DF">
        <w:rPr>
          <w:rFonts w:ascii="Times New Roman" w:hAnsi="Times New Roman" w:cs="Times New Roman"/>
          <w:sz w:val="24"/>
          <w:szCs w:val="24"/>
          <w:lang w:val="en-US"/>
        </w:rPr>
        <w:t>Tomio</w:t>
      </w:r>
      <w:proofErr w:type="spellEnd"/>
      <w:r w:rsidRPr="006020DF">
        <w:rPr>
          <w:rFonts w:ascii="Times New Roman" w:hAnsi="Times New Roman" w:cs="Times New Roman"/>
          <w:sz w:val="24"/>
          <w:szCs w:val="24"/>
          <w:lang w:val="en-US"/>
        </w:rPr>
        <w:t xml:space="preserve"> et al., 2014), although opposite findings exist that do not confirm a significant effect of gender on preparedness levels (Devi &amp; Sharma, 2015).</w:t>
      </w:r>
    </w:p>
    <w:p w14:paraId="74CD7B39" w14:textId="77777777" w:rsidR="000E0CA9" w:rsidRPr="006020DF" w:rsidRDefault="000E0CA9" w:rsidP="000E0CA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Age represents an important variable in studying decisions about undertaking preventive measures in the event of an earthquake. Although physiologically older individuals may react more slowly, research shows that they are often better informed and, to some extent, more prepared to respond (</w:t>
      </w:r>
      <w:proofErr w:type="spellStart"/>
      <w:r w:rsidRPr="006020DF">
        <w:rPr>
          <w:rFonts w:ascii="Times New Roman" w:hAnsi="Times New Roman" w:cs="Times New Roman"/>
          <w:sz w:val="24"/>
          <w:szCs w:val="24"/>
          <w:lang w:val="en-US"/>
        </w:rPr>
        <w:t>Melick</w:t>
      </w:r>
      <w:proofErr w:type="spellEnd"/>
      <w:r w:rsidRPr="006020DF">
        <w:rPr>
          <w:rFonts w:ascii="Times New Roman" w:hAnsi="Times New Roman" w:cs="Times New Roman"/>
          <w:sz w:val="24"/>
          <w:szCs w:val="24"/>
          <w:lang w:val="en-US"/>
        </w:rPr>
        <w:t xml:space="preserve"> &amp; Logue, 1986; Devi &amp; Sharma, 2015). However, the consequences they experience during earthquakes may be more severe due to health conditions and physical limitations.</w:t>
      </w:r>
    </w:p>
    <w:p w14:paraId="59830C64" w14:textId="77777777" w:rsidR="000E0CA9" w:rsidRPr="006020DF" w:rsidRDefault="000E0CA9" w:rsidP="000E0CA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Research findings on the influence of marital status on decision-making related to undertaking preventive measures in the event of an earthquake are inconsistent. Several authors (</w:t>
      </w:r>
      <w:proofErr w:type="spellStart"/>
      <w:r w:rsidRPr="006020DF">
        <w:rPr>
          <w:rFonts w:ascii="Times New Roman" w:hAnsi="Times New Roman" w:cs="Times New Roman"/>
          <w:sz w:val="24"/>
          <w:szCs w:val="24"/>
          <w:lang w:val="en-US"/>
        </w:rPr>
        <w:t>Spittal</w:t>
      </w:r>
      <w:proofErr w:type="spellEnd"/>
      <w:r w:rsidRPr="006020DF">
        <w:rPr>
          <w:rFonts w:ascii="Times New Roman" w:hAnsi="Times New Roman" w:cs="Times New Roman"/>
          <w:sz w:val="24"/>
          <w:szCs w:val="24"/>
          <w:lang w:val="en-US"/>
        </w:rPr>
        <w:t xml:space="preserve"> et al., 2008; Paul &amp; Bhuiyan, 2010; Devi &amp; Sharma, 2015) did not find a statistically significant association between marital status and the level of preparedness. In contrast, Dooley and colleagues (1992) indicate that married individuals are more likely to implement preparedness measures compared to those who are not married.</w:t>
      </w:r>
    </w:p>
    <w:p w14:paraId="137F3C23" w14:textId="77777777" w:rsidR="000E0CA9" w:rsidRPr="006020DF" w:rsidRDefault="000E0CA9" w:rsidP="000E0CA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 xml:space="preserve">In addition to marital status, studies have shown that the length of residence in a housing unit has a significant effect on preparedness, given that time is required to undertake structural modifications and increase the resilience of the dwelling (Duval &amp; </w:t>
      </w:r>
      <w:proofErr w:type="spellStart"/>
      <w:r w:rsidRPr="006020DF">
        <w:rPr>
          <w:rFonts w:ascii="Times New Roman" w:hAnsi="Times New Roman" w:cs="Times New Roman"/>
          <w:sz w:val="24"/>
          <w:szCs w:val="24"/>
          <w:lang w:val="en-US"/>
        </w:rPr>
        <w:t>Mulilis</w:t>
      </w:r>
      <w:proofErr w:type="spellEnd"/>
      <w:r w:rsidRPr="006020DF">
        <w:rPr>
          <w:rFonts w:ascii="Times New Roman" w:hAnsi="Times New Roman" w:cs="Times New Roman"/>
          <w:sz w:val="24"/>
          <w:szCs w:val="24"/>
          <w:lang w:val="en-US"/>
        </w:rPr>
        <w:t xml:space="preserve">, 1999; </w:t>
      </w:r>
      <w:proofErr w:type="spellStart"/>
      <w:r w:rsidRPr="006020DF">
        <w:rPr>
          <w:rFonts w:ascii="Times New Roman" w:hAnsi="Times New Roman" w:cs="Times New Roman"/>
          <w:sz w:val="24"/>
          <w:szCs w:val="24"/>
          <w:lang w:val="en-US"/>
        </w:rPr>
        <w:t>Spittal</w:t>
      </w:r>
      <w:proofErr w:type="spellEnd"/>
      <w:r w:rsidRPr="006020DF">
        <w:rPr>
          <w:rFonts w:ascii="Times New Roman" w:hAnsi="Times New Roman" w:cs="Times New Roman"/>
          <w:sz w:val="24"/>
          <w:szCs w:val="24"/>
          <w:lang w:val="en-US"/>
        </w:rPr>
        <w:t xml:space="preserve"> et al., 2008).</w:t>
      </w:r>
    </w:p>
    <w:p w14:paraId="1332BC18" w14:textId="77777777" w:rsidR="000E0CA9" w:rsidRPr="006020DF" w:rsidRDefault="000E0CA9" w:rsidP="000E0CA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 xml:space="preserve">Household income represents an important factor in deciding whether to undertake preventive measures in earthquake-related emergencies. Higher income enables better </w:t>
      </w:r>
      <w:r w:rsidRPr="006020DF">
        <w:rPr>
          <w:rFonts w:ascii="Times New Roman" w:hAnsi="Times New Roman" w:cs="Times New Roman"/>
          <w:sz w:val="24"/>
          <w:szCs w:val="24"/>
          <w:lang w:val="en-US"/>
        </w:rPr>
        <w:lastRenderedPageBreak/>
        <w:t>preparedness and access to resources necessary for mitigating the consequences of disasters (Kahn, 2005). Research indicates a statistically significant association between income level and readiness to respond, with higher-income respondents more likely to believe in the effectiveness of preparedness measures (FEMA, 2014).</w:t>
      </w:r>
    </w:p>
    <w:p w14:paraId="1C66B319" w14:textId="77777777" w:rsidR="000E0CA9" w:rsidRPr="006020DF" w:rsidRDefault="000E0CA9" w:rsidP="000E0CA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A study conducted in Dhaka showed that the risk of fatal outcomes due to earthquakes is significantly higher in developing countries compared to developed nations (Parajuli &amp; Parajuli, 2017). Additionally, home ownership has been identified as a factor that positively influences willingness to undertake preventive actions, particularly in the context of Turkey (</w:t>
      </w:r>
      <w:proofErr w:type="spellStart"/>
      <w:r w:rsidRPr="006020DF">
        <w:rPr>
          <w:rFonts w:ascii="Times New Roman" w:hAnsi="Times New Roman" w:cs="Times New Roman"/>
          <w:sz w:val="24"/>
          <w:szCs w:val="24"/>
          <w:lang w:val="en-US"/>
        </w:rPr>
        <w:t>Kalaça</w:t>
      </w:r>
      <w:proofErr w:type="spellEnd"/>
      <w:r w:rsidRPr="006020DF">
        <w:rPr>
          <w:rFonts w:ascii="Times New Roman" w:hAnsi="Times New Roman" w:cs="Times New Roman"/>
          <w:sz w:val="24"/>
          <w:szCs w:val="24"/>
          <w:lang w:val="en-US"/>
        </w:rPr>
        <w:t xml:space="preserve">, </w:t>
      </w:r>
      <w:proofErr w:type="spellStart"/>
      <w:r w:rsidRPr="006020DF">
        <w:rPr>
          <w:rFonts w:ascii="Times New Roman" w:hAnsi="Times New Roman" w:cs="Times New Roman"/>
          <w:sz w:val="24"/>
          <w:szCs w:val="24"/>
          <w:lang w:val="en-US"/>
        </w:rPr>
        <w:t>Aytekin</w:t>
      </w:r>
      <w:proofErr w:type="spellEnd"/>
      <w:r w:rsidRPr="006020DF">
        <w:rPr>
          <w:rFonts w:ascii="Times New Roman" w:hAnsi="Times New Roman" w:cs="Times New Roman"/>
          <w:sz w:val="24"/>
          <w:szCs w:val="24"/>
          <w:lang w:val="en-US"/>
        </w:rPr>
        <w:t xml:space="preserve"> &amp; </w:t>
      </w:r>
      <w:proofErr w:type="spellStart"/>
      <w:r w:rsidRPr="006020DF">
        <w:rPr>
          <w:rFonts w:ascii="Times New Roman" w:hAnsi="Times New Roman" w:cs="Times New Roman"/>
          <w:sz w:val="24"/>
          <w:szCs w:val="24"/>
          <w:lang w:val="en-US"/>
        </w:rPr>
        <w:t>Çalı</w:t>
      </w:r>
      <w:proofErr w:type="spellEnd"/>
      <w:r w:rsidRPr="006020DF">
        <w:rPr>
          <w:rFonts w:ascii="Times New Roman" w:hAnsi="Times New Roman" w:cs="Times New Roman"/>
          <w:sz w:val="24"/>
          <w:szCs w:val="24"/>
          <w:lang w:val="en-US"/>
        </w:rPr>
        <w:t>, 2007).</w:t>
      </w:r>
    </w:p>
    <w:p w14:paraId="2AF17969" w14:textId="77777777" w:rsidR="000E0CA9" w:rsidRPr="006020DF" w:rsidRDefault="000E0CA9" w:rsidP="000E0CA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Attitudes and beliefs play a key role in decision-making regarding the implementation of earthquake preparedness measures, as they influence how individuals interpret information about risks. People who believe in the importance of safety are more likely to take hazard information seriously and engage in preventive behavior (Becker et al., 2012). Becker and colleagues identify three key types of beliefs relevant to preparedness: risk beliefs, preparedness beliefs, and personal beliefs.</w:t>
      </w:r>
    </w:p>
    <w:p w14:paraId="0CCB74E2" w14:textId="77777777" w:rsidR="000E0CA9" w:rsidRPr="006020DF" w:rsidRDefault="000E0CA9" w:rsidP="000E0CA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 xml:space="preserve">Experience with disasters often fosters the belief that they can occur at any time. A positive relationship with institutions and a sense of trust </w:t>
      </w:r>
      <w:proofErr w:type="gramStart"/>
      <w:r w:rsidRPr="006020DF">
        <w:rPr>
          <w:rFonts w:ascii="Times New Roman" w:hAnsi="Times New Roman" w:cs="Times New Roman"/>
          <w:sz w:val="24"/>
          <w:szCs w:val="24"/>
          <w:lang w:val="en-US"/>
        </w:rPr>
        <w:t>increase</w:t>
      </w:r>
      <w:proofErr w:type="gramEnd"/>
      <w:r w:rsidRPr="006020DF">
        <w:rPr>
          <w:rFonts w:ascii="Times New Roman" w:hAnsi="Times New Roman" w:cs="Times New Roman"/>
          <w:sz w:val="24"/>
          <w:szCs w:val="24"/>
          <w:lang w:val="en-US"/>
        </w:rPr>
        <w:t xml:space="preserve"> the likelihood that individuals will take personal responsibility for their own safety (Lion et al., 2002). Studies have shown that preparedness measures are more effective when they are perceived as simple and feasible (Farley et al., 1993; </w:t>
      </w:r>
      <w:proofErr w:type="spellStart"/>
      <w:r w:rsidRPr="006020DF">
        <w:rPr>
          <w:rFonts w:ascii="Times New Roman" w:hAnsi="Times New Roman" w:cs="Times New Roman"/>
          <w:sz w:val="24"/>
          <w:szCs w:val="24"/>
          <w:lang w:val="en-US"/>
        </w:rPr>
        <w:t>Mileti</w:t>
      </w:r>
      <w:proofErr w:type="spellEnd"/>
      <w:r w:rsidRPr="006020DF">
        <w:rPr>
          <w:rFonts w:ascii="Times New Roman" w:hAnsi="Times New Roman" w:cs="Times New Roman"/>
          <w:sz w:val="24"/>
          <w:szCs w:val="24"/>
          <w:lang w:val="en-US"/>
        </w:rPr>
        <w:t xml:space="preserve"> &amp; Darlington, 1995). Prior experience with earthquakes is considered an important factor in deciding whether to undertake preventive measures. This experience refers to previous situations in which individuals were exposed to earthquakes and learned lessons that may contribute to improved preparedness (Lindell, 2013).</w:t>
      </w:r>
    </w:p>
    <w:p w14:paraId="744FBD5E" w14:textId="77777777" w:rsidR="000E0CA9" w:rsidRPr="006020DF" w:rsidRDefault="000E0CA9" w:rsidP="000E0CA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Although one might expect prior experience to motivate individuals to take protective actions, research findings are mixed. Shaw, Sharma, and Takeuchi (2009) did not find a statistically significant effect of previous experience on preparedness level. Conversely, some studies confirm that previous losses and damages are correlated with adaptive behavior (Lindell &amp; Perry, 2000; McClure, Johnston and Henrich, 2013).</w:t>
      </w:r>
    </w:p>
    <w:p w14:paraId="3220B2FD" w14:textId="77777777" w:rsidR="000E0CA9" w:rsidRPr="006020DF" w:rsidRDefault="000E0CA9" w:rsidP="000E0CA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Education emerges as an important factor in improving citizens’ readiness to respond in emergency situations, including earthquakes. Studies have highlighted the importance of education through interactive and practical methods (</w:t>
      </w:r>
      <w:proofErr w:type="spellStart"/>
      <w:r w:rsidRPr="006020DF">
        <w:rPr>
          <w:rFonts w:ascii="Times New Roman" w:hAnsi="Times New Roman" w:cs="Times New Roman"/>
          <w:sz w:val="24"/>
          <w:szCs w:val="24"/>
          <w:lang w:val="en-US"/>
        </w:rPr>
        <w:t>Izadkhah</w:t>
      </w:r>
      <w:proofErr w:type="spellEnd"/>
      <w:r w:rsidRPr="006020DF">
        <w:rPr>
          <w:rFonts w:ascii="Times New Roman" w:hAnsi="Times New Roman" w:cs="Times New Roman"/>
          <w:sz w:val="24"/>
          <w:szCs w:val="24"/>
          <w:lang w:val="en-US"/>
        </w:rPr>
        <w:t xml:space="preserve"> &amp; Hosseini, 2005; Shaw et al., 2004), but also the inconsistency of findings regarding the impact of formal education level (Kohn et al., 2012; Devi &amp; Sharma, 2015). Innovative approaches such as simulations and games have proven effective in engaging students (Becker et al., 2012; Johnson et al., 2014), while research from Iran and Turkey has demonstrated a link between lack of knowledge and low preparedness (</w:t>
      </w:r>
      <w:proofErr w:type="spellStart"/>
      <w:r w:rsidRPr="006020DF">
        <w:rPr>
          <w:rFonts w:ascii="Times New Roman" w:hAnsi="Times New Roman" w:cs="Times New Roman"/>
          <w:sz w:val="24"/>
          <w:szCs w:val="24"/>
          <w:lang w:val="en-US"/>
        </w:rPr>
        <w:t>Ranjbar</w:t>
      </w:r>
      <w:proofErr w:type="spellEnd"/>
      <w:r w:rsidRPr="006020DF">
        <w:rPr>
          <w:rFonts w:ascii="Times New Roman" w:hAnsi="Times New Roman" w:cs="Times New Roman"/>
          <w:sz w:val="24"/>
          <w:szCs w:val="24"/>
          <w:lang w:val="en-US"/>
        </w:rPr>
        <w:t xml:space="preserve"> et al., 2018; </w:t>
      </w:r>
      <w:proofErr w:type="spellStart"/>
      <w:r w:rsidRPr="006020DF">
        <w:rPr>
          <w:rFonts w:ascii="Times New Roman" w:hAnsi="Times New Roman" w:cs="Times New Roman"/>
          <w:sz w:val="24"/>
          <w:szCs w:val="24"/>
          <w:lang w:val="en-US"/>
        </w:rPr>
        <w:t>Güngörmüş</w:t>
      </w:r>
      <w:proofErr w:type="spellEnd"/>
      <w:r w:rsidRPr="006020DF">
        <w:rPr>
          <w:rFonts w:ascii="Times New Roman" w:hAnsi="Times New Roman" w:cs="Times New Roman"/>
          <w:sz w:val="24"/>
          <w:szCs w:val="24"/>
          <w:lang w:val="en-US"/>
        </w:rPr>
        <w:t xml:space="preserve"> et al., 2012).</w:t>
      </w:r>
    </w:p>
    <w:p w14:paraId="2B7F66B5" w14:textId="77777777" w:rsidR="000E0CA9" w:rsidRPr="006020DF" w:rsidRDefault="000E0CA9" w:rsidP="000E0CA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Therefore, although findings on the influence of education vary, the literature consistently confirms that knowledge is a prerequisite for effective preparedness in the event of an earthquake.</w:t>
      </w:r>
    </w:p>
    <w:p w14:paraId="3813B3CA" w14:textId="77777777" w:rsidR="00283ADE" w:rsidRPr="006020DF" w:rsidRDefault="00283ADE" w:rsidP="00870D48">
      <w:pPr>
        <w:spacing w:after="0" w:line="240" w:lineRule="auto"/>
        <w:ind w:firstLine="567"/>
        <w:jc w:val="both"/>
        <w:rPr>
          <w:rFonts w:ascii="Times New Roman" w:hAnsi="Times New Roman" w:cs="Times New Roman"/>
          <w:sz w:val="24"/>
          <w:szCs w:val="24"/>
          <w:lang w:val="en-US"/>
        </w:rPr>
      </w:pPr>
    </w:p>
    <w:p w14:paraId="471AA3F1" w14:textId="0CC68EDE" w:rsidR="000E0CA9" w:rsidRPr="006020DF" w:rsidRDefault="009D1191" w:rsidP="009D1191">
      <w:pPr>
        <w:spacing w:after="0" w:line="240" w:lineRule="auto"/>
        <w:ind w:firstLine="567"/>
        <w:jc w:val="center"/>
        <w:rPr>
          <w:rFonts w:ascii="Times New Roman" w:hAnsi="Times New Roman" w:cs="Times New Roman"/>
          <w:i/>
          <w:iCs/>
          <w:sz w:val="24"/>
          <w:szCs w:val="24"/>
          <w:lang w:val="en-US"/>
        </w:rPr>
      </w:pPr>
      <w:r w:rsidRPr="006020DF">
        <w:rPr>
          <w:rFonts w:ascii="Times New Roman" w:hAnsi="Times New Roman" w:cs="Times New Roman"/>
          <w:i/>
          <w:iCs/>
          <w:sz w:val="24"/>
          <w:szCs w:val="24"/>
          <w:lang w:val="en-US"/>
        </w:rPr>
        <w:t>CONCLUSION</w:t>
      </w:r>
    </w:p>
    <w:p w14:paraId="5C30EBBD" w14:textId="77777777" w:rsidR="009D1191" w:rsidRPr="006020DF" w:rsidRDefault="009D1191" w:rsidP="009D1191">
      <w:pPr>
        <w:spacing w:after="0" w:line="240" w:lineRule="auto"/>
        <w:ind w:firstLine="567"/>
        <w:jc w:val="center"/>
        <w:rPr>
          <w:rFonts w:ascii="Times New Roman" w:hAnsi="Times New Roman" w:cs="Times New Roman"/>
          <w:i/>
          <w:iCs/>
          <w:sz w:val="24"/>
          <w:szCs w:val="24"/>
          <w:lang w:val="en-US"/>
        </w:rPr>
      </w:pPr>
    </w:p>
    <w:p w14:paraId="64101D14" w14:textId="68C2ADEB" w:rsidR="000E0CA9" w:rsidRPr="006020DF" w:rsidRDefault="000E0CA9" w:rsidP="000E0CA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An analysis of the available literature and relevant research findings indicates that citizens’ decisions to undertake preventive safety measures in the event of an earthquake are not the result of the objective level of hazard alone, but rather of a complex interaction of multiple individual and social factors. Identifying behavioral predictors, whose foundations can be found in the TPB, represents an important step toward improving the level of citizens’ preparedness for earthquakes, as well as strengthening the effectiveness of earthquake disaster risk management systems.</w:t>
      </w:r>
    </w:p>
    <w:p w14:paraId="770CCA07" w14:textId="1E8A937E" w:rsidR="00814224" w:rsidRPr="006020DF" w:rsidRDefault="00814224" w:rsidP="000E0CA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lastRenderedPageBreak/>
        <w:t xml:space="preserve">Although there are many theories related to planned behavior, the current study incorporates disaster-specific psychological and sociodemographic parameters such as </w:t>
      </w:r>
      <w:r w:rsidR="009B6629" w:rsidRPr="006020DF">
        <w:rPr>
          <w:rFonts w:ascii="Times New Roman" w:hAnsi="Times New Roman" w:cs="Times New Roman"/>
          <w:sz w:val="24"/>
          <w:szCs w:val="24"/>
          <w:lang w:val="en-US"/>
        </w:rPr>
        <w:t>age</w:t>
      </w:r>
      <w:r w:rsidRPr="006020DF">
        <w:rPr>
          <w:rFonts w:ascii="Times New Roman" w:hAnsi="Times New Roman" w:cs="Times New Roman"/>
          <w:sz w:val="24"/>
          <w:szCs w:val="24"/>
          <w:lang w:val="en-US"/>
        </w:rPr>
        <w:t>,</w:t>
      </w:r>
      <w:r w:rsidR="009B6629" w:rsidRPr="006020DF">
        <w:rPr>
          <w:rFonts w:ascii="Times New Roman" w:hAnsi="Times New Roman" w:cs="Times New Roman"/>
          <w:sz w:val="24"/>
          <w:szCs w:val="24"/>
          <w:lang w:val="en-US"/>
        </w:rPr>
        <w:t xml:space="preserve"> gender</w:t>
      </w:r>
      <w:r w:rsidRPr="006020DF">
        <w:rPr>
          <w:rFonts w:ascii="Times New Roman" w:hAnsi="Times New Roman" w:cs="Times New Roman"/>
          <w:sz w:val="24"/>
          <w:szCs w:val="24"/>
          <w:lang w:val="en-US"/>
        </w:rPr>
        <w:t xml:space="preserve">, marital status, income, education level, and prior experience that have a substantial impact on behavioral patterns and readiness to respond to earthquake-related emergencies. </w:t>
      </w:r>
      <w:proofErr w:type="gramStart"/>
      <w:r w:rsidRPr="006020DF">
        <w:rPr>
          <w:rFonts w:ascii="Times New Roman" w:hAnsi="Times New Roman" w:cs="Times New Roman"/>
          <w:sz w:val="24"/>
          <w:szCs w:val="24"/>
          <w:lang w:val="en-US"/>
        </w:rPr>
        <w:t>All of</w:t>
      </w:r>
      <w:proofErr w:type="gramEnd"/>
      <w:r w:rsidRPr="006020DF">
        <w:rPr>
          <w:rFonts w:ascii="Times New Roman" w:hAnsi="Times New Roman" w:cs="Times New Roman"/>
          <w:sz w:val="24"/>
          <w:szCs w:val="24"/>
          <w:lang w:val="en-US"/>
        </w:rPr>
        <w:t xml:space="preserve"> these elements shape particular measures of risk perception, motivation to respond, and preparedness behaviors. By identifying behavioral predictors, it can contribute to the understanding of why some people prepare their households and families for potential earthquakes and others do not. Well-organized scientific research that addresses attitudes — the need for preparedness, subjective norms the community has about preparedness, and what control they perceive in the situation, based on theory and established postulates. </w:t>
      </w:r>
    </w:p>
    <w:p w14:paraId="614BE4B6" w14:textId="5280E102" w:rsidR="000E0CA9" w:rsidRPr="006020DF" w:rsidRDefault="00814224" w:rsidP="000E0CA9">
      <w:pPr>
        <w:spacing w:after="0" w:line="240" w:lineRule="auto"/>
        <w:ind w:firstLine="567"/>
        <w:jc w:val="both"/>
        <w:rPr>
          <w:rFonts w:ascii="Times New Roman" w:hAnsi="Times New Roman" w:cs="Times New Roman"/>
          <w:sz w:val="24"/>
          <w:szCs w:val="24"/>
          <w:lang w:val="en-US"/>
        </w:rPr>
      </w:pPr>
      <w:r w:rsidRPr="006020DF">
        <w:rPr>
          <w:rFonts w:ascii="Times New Roman" w:hAnsi="Times New Roman" w:cs="Times New Roman"/>
          <w:sz w:val="24"/>
          <w:szCs w:val="24"/>
          <w:lang w:val="en-US"/>
        </w:rPr>
        <w:t xml:space="preserve">Such insights could form the basis for risk management programs and measures to motivate individuals to anticipate probable earthquakes. This also encompasses preparedness awareness campaigns, educational programs, innovative content, and upgrades to critical infrastructure. </w:t>
      </w:r>
      <w:proofErr w:type="gramStart"/>
      <w:r w:rsidR="000E0CA9" w:rsidRPr="006020DF">
        <w:rPr>
          <w:rFonts w:ascii="Times New Roman" w:hAnsi="Times New Roman" w:cs="Times New Roman"/>
          <w:sz w:val="24"/>
          <w:szCs w:val="24"/>
          <w:lang w:val="en-US"/>
        </w:rPr>
        <w:t>In order to</w:t>
      </w:r>
      <w:proofErr w:type="gramEnd"/>
      <w:r w:rsidR="000E0CA9" w:rsidRPr="006020DF">
        <w:rPr>
          <w:rFonts w:ascii="Times New Roman" w:hAnsi="Times New Roman" w:cs="Times New Roman"/>
          <w:sz w:val="24"/>
          <w:szCs w:val="24"/>
          <w:lang w:val="en-US"/>
        </w:rPr>
        <w:t xml:space="preserve"> adopt appropriate legislative regulations, </w:t>
      </w:r>
      <w:r w:rsidRPr="006020DF">
        <w:rPr>
          <w:rFonts w:ascii="Times New Roman" w:hAnsi="Times New Roman" w:cs="Times New Roman"/>
          <w:sz w:val="24"/>
          <w:szCs w:val="24"/>
          <w:lang w:val="en-US"/>
        </w:rPr>
        <w:t>by</w:t>
      </w:r>
      <w:r w:rsidR="000E0CA9" w:rsidRPr="006020DF">
        <w:rPr>
          <w:rFonts w:ascii="Times New Roman" w:hAnsi="Times New Roman" w:cs="Times New Roman"/>
          <w:sz w:val="24"/>
          <w:szCs w:val="24"/>
          <w:lang w:val="en-US"/>
        </w:rPr>
        <w:t>laws, and strategies aimed at enhancing citizens’ safety during earthquakes, it is essential to provide decision-makers with adequate scientific information explaining how individual and social factors influence preventive behavior and the undertaking of preparedness measures, as well</w:t>
      </w:r>
      <w:r w:rsidR="000E0CA9" w:rsidRPr="006020DF">
        <w:rPr>
          <w:rFonts w:ascii="Times New Roman" w:hAnsi="Times New Roman" w:cs="Times New Roman"/>
          <w:b/>
          <w:bCs/>
          <w:sz w:val="24"/>
          <w:szCs w:val="24"/>
          <w:lang w:val="en-US"/>
        </w:rPr>
        <w:t xml:space="preserve"> </w:t>
      </w:r>
      <w:r w:rsidR="000E0CA9" w:rsidRPr="006020DF">
        <w:rPr>
          <w:rFonts w:ascii="Times New Roman" w:hAnsi="Times New Roman" w:cs="Times New Roman"/>
          <w:sz w:val="24"/>
          <w:szCs w:val="24"/>
          <w:lang w:val="en-US"/>
        </w:rPr>
        <w:t>as the obstacles to their implementation across all phases of disaster risk management.</w:t>
      </w:r>
    </w:p>
    <w:p w14:paraId="305DEB9E" w14:textId="77777777" w:rsidR="000E0CA9" w:rsidRPr="006020DF" w:rsidRDefault="000E0CA9" w:rsidP="000E0CA9">
      <w:pPr>
        <w:spacing w:after="0" w:line="240" w:lineRule="auto"/>
        <w:ind w:firstLine="567"/>
        <w:jc w:val="both"/>
        <w:rPr>
          <w:rFonts w:ascii="Times New Roman" w:hAnsi="Times New Roman" w:cs="Times New Roman"/>
          <w:sz w:val="24"/>
          <w:szCs w:val="24"/>
          <w:lang w:val="en-US"/>
        </w:rPr>
      </w:pPr>
    </w:p>
    <w:p w14:paraId="046E7434" w14:textId="6C30CBE6" w:rsidR="000E0CA9" w:rsidRPr="006020DF" w:rsidRDefault="009D1191" w:rsidP="009D1191">
      <w:pPr>
        <w:spacing w:after="0" w:line="240" w:lineRule="auto"/>
        <w:ind w:firstLine="567"/>
        <w:jc w:val="center"/>
        <w:rPr>
          <w:rFonts w:ascii="Times New Roman" w:hAnsi="Times New Roman" w:cs="Times New Roman"/>
          <w:i/>
          <w:iCs/>
          <w:sz w:val="24"/>
          <w:szCs w:val="24"/>
          <w:lang w:val="en-US"/>
        </w:rPr>
      </w:pPr>
      <w:r w:rsidRPr="006020DF">
        <w:rPr>
          <w:rFonts w:ascii="Times New Roman" w:hAnsi="Times New Roman" w:cs="Times New Roman"/>
          <w:i/>
          <w:iCs/>
          <w:sz w:val="24"/>
          <w:szCs w:val="24"/>
          <w:lang w:val="en-US"/>
        </w:rPr>
        <w:t>REFERENCES</w:t>
      </w:r>
    </w:p>
    <w:p w14:paraId="2D37C473" w14:textId="77777777" w:rsidR="009D1191" w:rsidRPr="006020DF" w:rsidRDefault="009D1191" w:rsidP="009D1191">
      <w:pPr>
        <w:spacing w:after="0" w:line="240" w:lineRule="auto"/>
        <w:ind w:firstLine="567"/>
        <w:jc w:val="center"/>
        <w:rPr>
          <w:rFonts w:ascii="Times New Roman" w:hAnsi="Times New Roman" w:cs="Times New Roman"/>
          <w:sz w:val="24"/>
          <w:szCs w:val="24"/>
          <w:lang w:val="en-US"/>
        </w:rPr>
      </w:pPr>
    </w:p>
    <w:p w14:paraId="286AFF0F" w14:textId="77777777" w:rsidR="008D513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Ajzen, I. (1991). The theory of planned behavior. Organizational Behavior and </w:t>
      </w:r>
      <w:r w:rsidRPr="006020DF">
        <w:rPr>
          <w:rFonts w:ascii="Times New Roman" w:hAnsi="Times New Roman" w:cs="Times New Roman"/>
          <w:i/>
          <w:iCs/>
          <w:noProof/>
          <w:sz w:val="24"/>
          <w:szCs w:val="24"/>
          <w:lang w:val="en-US"/>
        </w:rPr>
        <w:t>Human Decision Processes</w:t>
      </w:r>
      <w:r w:rsidRPr="006020DF">
        <w:rPr>
          <w:rFonts w:ascii="Times New Roman" w:hAnsi="Times New Roman" w:cs="Times New Roman"/>
          <w:noProof/>
          <w:sz w:val="24"/>
          <w:szCs w:val="24"/>
          <w:lang w:val="en-US"/>
        </w:rPr>
        <w:t>, 50(2), 179–211.</w:t>
      </w:r>
    </w:p>
    <w:p w14:paraId="298D7EE9" w14:textId="0A1D7DAD" w:rsidR="008D513B" w:rsidRPr="006020DF" w:rsidRDefault="008D513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Ajzen, I. (2006). </w:t>
      </w:r>
      <w:r w:rsidRPr="006020DF">
        <w:rPr>
          <w:rFonts w:ascii="Times New Roman" w:hAnsi="Times New Roman" w:cs="Times New Roman"/>
          <w:i/>
          <w:iCs/>
          <w:noProof/>
          <w:sz w:val="24"/>
          <w:szCs w:val="24"/>
          <w:lang w:val="en-US"/>
        </w:rPr>
        <w:t>Constructing a theory of planned behavior questionnaire</w:t>
      </w:r>
      <w:r w:rsidRPr="006020DF">
        <w:rPr>
          <w:rFonts w:ascii="Times New Roman" w:hAnsi="Times New Roman" w:cs="Times New Roman"/>
          <w:noProof/>
          <w:sz w:val="24"/>
          <w:szCs w:val="24"/>
          <w:lang w:val="en-US"/>
        </w:rPr>
        <w:t xml:space="preserve">. University of Massachusetts Amherst. Retrieved from </w:t>
      </w:r>
      <w:hyperlink r:id="rId8" w:history="1">
        <w:r w:rsidRPr="006020DF">
          <w:rPr>
            <w:rStyle w:val="Hyperlink"/>
            <w:rFonts w:ascii="Times New Roman" w:hAnsi="Times New Roman" w:cs="Times New Roman"/>
            <w:noProof/>
            <w:sz w:val="24"/>
            <w:szCs w:val="24"/>
            <w:lang w:val="en-US"/>
          </w:rPr>
          <w:t>https://people.umass.edu/aizen/pdf/tpb.measurement.pdf</w:t>
        </w:r>
      </w:hyperlink>
    </w:p>
    <w:p w14:paraId="76B00894" w14:textId="4701C273"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Ajzen, I., Joyce, N., Sheikh, S., &amp; Cote, N. G. (2011). Knowledge and the prediction of behavior: The role of information accuracy in the theory of planned behavior. </w:t>
      </w:r>
      <w:r w:rsidRPr="006020DF">
        <w:rPr>
          <w:rFonts w:ascii="Times New Roman" w:hAnsi="Times New Roman" w:cs="Times New Roman"/>
          <w:i/>
          <w:iCs/>
          <w:noProof/>
          <w:sz w:val="24"/>
          <w:szCs w:val="24"/>
          <w:lang w:val="en-US"/>
        </w:rPr>
        <w:t>Basic and Applied Social Psychology, 33</w:t>
      </w:r>
      <w:r w:rsidRPr="006020DF">
        <w:rPr>
          <w:rFonts w:ascii="Times New Roman" w:hAnsi="Times New Roman" w:cs="Times New Roman"/>
          <w:noProof/>
          <w:sz w:val="24"/>
          <w:szCs w:val="24"/>
          <w:lang w:val="en-US"/>
        </w:rPr>
        <w:t>(2), 101–117.</w:t>
      </w:r>
    </w:p>
    <w:p w14:paraId="5A45FC91"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Armaş, I. (2006). Earthquake risk perception in Bucharest, Romania. </w:t>
      </w:r>
      <w:r w:rsidRPr="006020DF">
        <w:rPr>
          <w:rFonts w:ascii="Times New Roman" w:hAnsi="Times New Roman" w:cs="Times New Roman"/>
          <w:i/>
          <w:iCs/>
          <w:noProof/>
          <w:sz w:val="24"/>
          <w:szCs w:val="24"/>
          <w:lang w:val="en-US"/>
        </w:rPr>
        <w:t>Risk Analysis, 26</w:t>
      </w:r>
      <w:r w:rsidRPr="006020DF">
        <w:rPr>
          <w:rFonts w:ascii="Times New Roman" w:hAnsi="Times New Roman" w:cs="Times New Roman"/>
          <w:noProof/>
          <w:sz w:val="24"/>
          <w:szCs w:val="24"/>
          <w:lang w:val="en-US"/>
        </w:rPr>
        <w:t>(5), 1223-1234.</w:t>
      </w:r>
    </w:p>
    <w:p w14:paraId="49F7289B"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Armitage, C. J., &amp; Conner, M. (2001). Efficacy of the theory of planned behaviour: A meta‐analytic review. </w:t>
      </w:r>
      <w:r w:rsidRPr="006020DF">
        <w:rPr>
          <w:rFonts w:ascii="Times New Roman" w:hAnsi="Times New Roman" w:cs="Times New Roman"/>
          <w:i/>
          <w:iCs/>
          <w:noProof/>
          <w:sz w:val="24"/>
          <w:szCs w:val="24"/>
          <w:lang w:val="en-US"/>
        </w:rPr>
        <w:t>British Journal of Social Psychology, 40</w:t>
      </w:r>
      <w:r w:rsidRPr="006020DF">
        <w:rPr>
          <w:rFonts w:ascii="Times New Roman" w:hAnsi="Times New Roman" w:cs="Times New Roman"/>
          <w:noProof/>
          <w:sz w:val="24"/>
          <w:szCs w:val="24"/>
          <w:lang w:val="en-US"/>
        </w:rPr>
        <w:t>(4), 471–499.</w:t>
      </w:r>
    </w:p>
    <w:p w14:paraId="29DDABA9"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Becker, J. S., Paton, D., Johnston, D. M., &amp; Ronan, K. R. (2012). A model of household preparedness for earthquakes: How individuals make meaning of earthquake information and how this influences preparedness. </w:t>
      </w:r>
      <w:r w:rsidRPr="006020DF">
        <w:rPr>
          <w:rFonts w:ascii="Times New Roman" w:hAnsi="Times New Roman" w:cs="Times New Roman"/>
          <w:i/>
          <w:iCs/>
          <w:noProof/>
          <w:sz w:val="24"/>
          <w:szCs w:val="24"/>
          <w:lang w:val="en-US"/>
        </w:rPr>
        <w:t>Natural Hazards, 64</w:t>
      </w:r>
      <w:r w:rsidRPr="006020DF">
        <w:rPr>
          <w:rFonts w:ascii="Times New Roman" w:hAnsi="Times New Roman" w:cs="Times New Roman"/>
          <w:noProof/>
          <w:sz w:val="24"/>
          <w:szCs w:val="24"/>
          <w:lang w:val="en-US"/>
        </w:rPr>
        <w:t>, 107–137.</w:t>
      </w:r>
    </w:p>
    <w:p w14:paraId="380F34B5"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Beitel, M., Ferrer, E., &amp; Cecero, J. J. (2005). Psychological mindedness and awareness of self and others. </w:t>
      </w:r>
      <w:r w:rsidRPr="006020DF">
        <w:rPr>
          <w:rFonts w:ascii="Times New Roman" w:hAnsi="Times New Roman" w:cs="Times New Roman"/>
          <w:i/>
          <w:iCs/>
          <w:noProof/>
          <w:sz w:val="24"/>
          <w:szCs w:val="24"/>
          <w:lang w:val="en-US"/>
        </w:rPr>
        <w:t>Journal of Clinical Psychology, 61</w:t>
      </w:r>
      <w:r w:rsidRPr="006020DF">
        <w:rPr>
          <w:rFonts w:ascii="Times New Roman" w:hAnsi="Times New Roman" w:cs="Times New Roman"/>
          <w:noProof/>
          <w:sz w:val="24"/>
          <w:szCs w:val="24"/>
          <w:lang w:val="en-US"/>
        </w:rPr>
        <w:t>(6), 739–750.</w:t>
      </w:r>
    </w:p>
    <w:p w14:paraId="3A65D414"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Bosnjak, M., Ajzen, I., &amp; Schmidt, P. (2020). The theory of planned behavior: Selected recent advances and applications. </w:t>
      </w:r>
      <w:r w:rsidRPr="006020DF">
        <w:rPr>
          <w:rFonts w:ascii="Times New Roman" w:hAnsi="Times New Roman" w:cs="Times New Roman"/>
          <w:i/>
          <w:iCs/>
          <w:noProof/>
          <w:sz w:val="24"/>
          <w:szCs w:val="24"/>
          <w:lang w:val="en-US"/>
        </w:rPr>
        <w:t>Europe’s Journal of Psychology, 16</w:t>
      </w:r>
      <w:r w:rsidRPr="006020DF">
        <w:rPr>
          <w:rFonts w:ascii="Times New Roman" w:hAnsi="Times New Roman" w:cs="Times New Roman"/>
          <w:noProof/>
          <w:sz w:val="24"/>
          <w:szCs w:val="24"/>
          <w:lang w:val="en-US"/>
        </w:rPr>
        <w:t>(3), 352.</w:t>
      </w:r>
    </w:p>
    <w:p w14:paraId="6F85D250"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Bruneau, M., Chang, S., Eguchi, R., Lee, G., O’Rourke, T., Reinhorn, A., et al. (2003). A framework to quantitatively assess and enhance the seismic resilience of communities. </w:t>
      </w:r>
      <w:r w:rsidRPr="006020DF">
        <w:rPr>
          <w:rFonts w:ascii="Times New Roman" w:hAnsi="Times New Roman" w:cs="Times New Roman"/>
          <w:i/>
          <w:iCs/>
          <w:noProof/>
          <w:sz w:val="24"/>
          <w:szCs w:val="24"/>
          <w:lang w:val="en-US"/>
        </w:rPr>
        <w:t>Earthquake Spectra, 19</w:t>
      </w:r>
      <w:r w:rsidRPr="006020DF">
        <w:rPr>
          <w:rFonts w:ascii="Times New Roman" w:hAnsi="Times New Roman" w:cs="Times New Roman"/>
          <w:noProof/>
          <w:sz w:val="24"/>
          <w:szCs w:val="24"/>
          <w:lang w:val="en-US"/>
        </w:rPr>
        <w:t>, 733–752.</w:t>
      </w:r>
    </w:p>
    <w:p w14:paraId="30B585F8"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lastRenderedPageBreak/>
        <w:t xml:space="preserve">Conner, M., &amp; Armitage, C. J. (1998). Extending the theory of planned behavior: A review and avenues for further research. </w:t>
      </w:r>
      <w:r w:rsidRPr="006020DF">
        <w:rPr>
          <w:rFonts w:ascii="Times New Roman" w:hAnsi="Times New Roman" w:cs="Times New Roman"/>
          <w:i/>
          <w:iCs/>
          <w:noProof/>
          <w:sz w:val="24"/>
          <w:szCs w:val="24"/>
          <w:lang w:val="en-US"/>
        </w:rPr>
        <w:t>Journal of Applied Social Psychology, 28</w:t>
      </w:r>
      <w:r w:rsidRPr="006020DF">
        <w:rPr>
          <w:rFonts w:ascii="Times New Roman" w:hAnsi="Times New Roman" w:cs="Times New Roman"/>
          <w:noProof/>
          <w:sz w:val="24"/>
          <w:szCs w:val="24"/>
          <w:lang w:val="en-US"/>
        </w:rPr>
        <w:t>(15), 1429–1464.</w:t>
      </w:r>
    </w:p>
    <w:p w14:paraId="3EE147BF"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Cvetković, V. M., &amp; Filipović, M. (2017). Pripremljenost za reagovanje na rizike od prirodnih katastrofa. Zadužbina Andrejević.</w:t>
      </w:r>
    </w:p>
    <w:p w14:paraId="638A3D41"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Cvetković, V. M., &amp; Filipović, M. (2019). Percepcija rizika od zemljotresa u Republici Srbiji: teorijsko-empirijska studija. </w:t>
      </w:r>
      <w:r w:rsidRPr="006020DF">
        <w:rPr>
          <w:rFonts w:ascii="Times New Roman" w:hAnsi="Times New Roman" w:cs="Times New Roman"/>
          <w:i/>
          <w:iCs/>
          <w:noProof/>
          <w:sz w:val="24"/>
          <w:szCs w:val="24"/>
          <w:lang w:val="en-US"/>
        </w:rPr>
        <w:t>Vojno delo, 71</w:t>
      </w:r>
      <w:r w:rsidRPr="006020DF">
        <w:rPr>
          <w:rFonts w:ascii="Times New Roman" w:hAnsi="Times New Roman" w:cs="Times New Roman"/>
          <w:noProof/>
          <w:sz w:val="24"/>
          <w:szCs w:val="24"/>
          <w:lang w:val="en-US"/>
        </w:rPr>
        <w:t>(2), 142–159.</w:t>
      </w:r>
    </w:p>
    <w:p w14:paraId="495CE2C5"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Cvetković, V. M., Ronan, K., Shaw, R., Filipović, M., Mano, R., Gačić, J., &amp; Jakovljević, V. (2019). Household earthquake preparedness in Serbia: A study of selected municipalities. </w:t>
      </w:r>
      <w:r w:rsidRPr="006020DF">
        <w:rPr>
          <w:rFonts w:ascii="Times New Roman" w:hAnsi="Times New Roman" w:cs="Times New Roman"/>
          <w:i/>
          <w:iCs/>
          <w:noProof/>
          <w:sz w:val="24"/>
          <w:szCs w:val="24"/>
          <w:lang w:val="en-US"/>
        </w:rPr>
        <w:t>Acta Geographica Slovenica, 59</w:t>
      </w:r>
      <w:r w:rsidRPr="006020DF">
        <w:rPr>
          <w:rFonts w:ascii="Times New Roman" w:hAnsi="Times New Roman" w:cs="Times New Roman"/>
          <w:noProof/>
          <w:sz w:val="24"/>
          <w:szCs w:val="24"/>
          <w:lang w:val="en-US"/>
        </w:rPr>
        <w:t>(2), 27-42.</w:t>
      </w:r>
    </w:p>
    <w:p w14:paraId="092939C6" w14:textId="77777777" w:rsidR="00DF425F" w:rsidRPr="006020DF" w:rsidRDefault="00DF425F"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Dedeoglu, N. (2006, August). Knowledge, attitude and practice of residents of Antalya, Turkey about earthquake preparedness. In </w:t>
      </w:r>
      <w:r w:rsidRPr="006020DF">
        <w:rPr>
          <w:rFonts w:ascii="Times New Roman" w:hAnsi="Times New Roman" w:cs="Times New Roman"/>
          <w:i/>
          <w:iCs/>
          <w:noProof/>
          <w:sz w:val="24"/>
          <w:szCs w:val="24"/>
          <w:lang w:val="en-US"/>
        </w:rPr>
        <w:t>International Disaster Reduction Conference, Davos, Switzerland</w:t>
      </w:r>
      <w:r w:rsidRPr="006020DF">
        <w:rPr>
          <w:rFonts w:ascii="Times New Roman" w:hAnsi="Times New Roman" w:cs="Times New Roman"/>
          <w:noProof/>
          <w:sz w:val="24"/>
          <w:szCs w:val="24"/>
          <w:lang w:val="en-US"/>
        </w:rPr>
        <w:t> (Vol. 27).</w:t>
      </w:r>
    </w:p>
    <w:p w14:paraId="0E42BDE1" w14:textId="41EBABC3"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Devi, A. W., &amp; Sharma, D. (2015). Awareness on earthquake preparedness: A key to safe life. </w:t>
      </w:r>
      <w:r w:rsidRPr="006020DF">
        <w:rPr>
          <w:rFonts w:ascii="Times New Roman" w:hAnsi="Times New Roman" w:cs="Times New Roman"/>
          <w:i/>
          <w:iCs/>
          <w:noProof/>
          <w:sz w:val="24"/>
          <w:szCs w:val="24"/>
          <w:lang w:val="en-US"/>
        </w:rPr>
        <w:t>International Journal of Nursing Research and Practice, 2</w:t>
      </w:r>
      <w:r w:rsidRPr="006020DF">
        <w:rPr>
          <w:rFonts w:ascii="Times New Roman" w:hAnsi="Times New Roman" w:cs="Times New Roman"/>
          <w:noProof/>
          <w:sz w:val="24"/>
          <w:szCs w:val="24"/>
          <w:lang w:val="en-US"/>
        </w:rPr>
        <w:t>(2), 1-6.</w:t>
      </w:r>
    </w:p>
    <w:p w14:paraId="317B1ABC"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Dooley, D., Catalano, R., Mishra, S., &amp; Serxner, S. (1992). Earthquake preparedness: Pre-dictors in a community survey. </w:t>
      </w:r>
      <w:r w:rsidRPr="006020DF">
        <w:rPr>
          <w:rFonts w:ascii="Times New Roman" w:hAnsi="Times New Roman" w:cs="Times New Roman"/>
          <w:i/>
          <w:iCs/>
          <w:noProof/>
          <w:sz w:val="24"/>
          <w:szCs w:val="24"/>
          <w:lang w:val="en-US"/>
        </w:rPr>
        <w:t>Journal of Applied Social Psychology, 22</w:t>
      </w:r>
      <w:r w:rsidRPr="006020DF">
        <w:rPr>
          <w:rFonts w:ascii="Times New Roman" w:hAnsi="Times New Roman" w:cs="Times New Roman"/>
          <w:noProof/>
          <w:sz w:val="24"/>
          <w:szCs w:val="24"/>
          <w:lang w:val="en-US"/>
        </w:rPr>
        <w:t>(6), 451-470.</w:t>
      </w:r>
    </w:p>
    <w:p w14:paraId="5ABD6866"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Duval, T. S., &amp; Mulilis, J. (1999). A Person‐Relative‐to‐Event (PrE) Approach to Negative Threat Appeals and Earthquake Preparedness: A Field Study 1. </w:t>
      </w:r>
      <w:r w:rsidRPr="006020DF">
        <w:rPr>
          <w:rFonts w:ascii="Times New Roman" w:hAnsi="Times New Roman" w:cs="Times New Roman"/>
          <w:i/>
          <w:iCs/>
          <w:noProof/>
          <w:sz w:val="24"/>
          <w:szCs w:val="24"/>
          <w:lang w:val="en-US"/>
        </w:rPr>
        <w:t>Journal of Applied Social Psychology, 29</w:t>
      </w:r>
      <w:r w:rsidRPr="006020DF">
        <w:rPr>
          <w:rFonts w:ascii="Times New Roman" w:hAnsi="Times New Roman" w:cs="Times New Roman"/>
          <w:noProof/>
          <w:sz w:val="24"/>
          <w:szCs w:val="24"/>
          <w:lang w:val="en-US"/>
        </w:rPr>
        <w:t>(3), 495–516.</w:t>
      </w:r>
    </w:p>
    <w:p w14:paraId="2F5B038C"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Edwards, M. (1993). Social location and self-protective behavior: Implications for earthquake preparedness. </w:t>
      </w:r>
      <w:r w:rsidRPr="006020DF">
        <w:rPr>
          <w:rFonts w:ascii="Times New Roman" w:hAnsi="Times New Roman" w:cs="Times New Roman"/>
          <w:i/>
          <w:iCs/>
          <w:noProof/>
          <w:sz w:val="24"/>
          <w:szCs w:val="24"/>
          <w:lang w:val="en-US"/>
        </w:rPr>
        <w:t>International Journal of Mass Emergencies and Disasters, 11</w:t>
      </w:r>
      <w:r w:rsidRPr="006020DF">
        <w:rPr>
          <w:rFonts w:ascii="Times New Roman" w:hAnsi="Times New Roman" w:cs="Times New Roman"/>
          <w:noProof/>
          <w:sz w:val="24"/>
          <w:szCs w:val="24"/>
          <w:lang w:val="en-US"/>
        </w:rPr>
        <w:t>(3), 293-303</w:t>
      </w:r>
    </w:p>
    <w:p w14:paraId="51A3DA50"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Farley, J. E., Barlow, H. D., Finkelstein, M. S., &amp; Riley, L. (1993). Earthquake hysteria, before and after: A survey and follow-up on public response to the Browning forecast. </w:t>
      </w:r>
      <w:r w:rsidRPr="006020DF">
        <w:rPr>
          <w:rFonts w:ascii="Times New Roman" w:hAnsi="Times New Roman" w:cs="Times New Roman"/>
          <w:i/>
          <w:iCs/>
          <w:noProof/>
          <w:sz w:val="24"/>
          <w:szCs w:val="24"/>
          <w:lang w:val="en-US"/>
        </w:rPr>
        <w:t>International Journal of Mass Emergencies and Disasters, 11</w:t>
      </w:r>
      <w:r w:rsidRPr="006020DF">
        <w:rPr>
          <w:rFonts w:ascii="Times New Roman" w:hAnsi="Times New Roman" w:cs="Times New Roman"/>
          <w:noProof/>
          <w:sz w:val="24"/>
          <w:szCs w:val="24"/>
          <w:lang w:val="en-US"/>
        </w:rPr>
        <w:t>(3), 271-277.</w:t>
      </w:r>
    </w:p>
    <w:p w14:paraId="15FB21B5"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FEMA (2014).  Federal Emergency Management Agency „Disaster preparedness”, available at: https://www.fema.gov/emergency-managers/national-preparedness (Accessed 06/16/2021).</w:t>
      </w:r>
    </w:p>
    <w:p w14:paraId="5E48CCC8"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Fernandez, L. S., Byard, D., Lin, C.-C., Benson, S., &amp; Barbera, J. A. (2002). Frail elderly as disaster victims: </w:t>
      </w:r>
      <w:r w:rsidRPr="006020DF">
        <w:rPr>
          <w:rFonts w:ascii="Times New Roman" w:hAnsi="Times New Roman" w:cs="Times New Roman"/>
          <w:i/>
          <w:iCs/>
          <w:noProof/>
          <w:sz w:val="24"/>
          <w:szCs w:val="24"/>
          <w:lang w:val="en-US"/>
        </w:rPr>
        <w:t>Emergency management strategies. Prehospital and disaster medicine, 17</w:t>
      </w:r>
      <w:r w:rsidRPr="006020DF">
        <w:rPr>
          <w:rFonts w:ascii="Times New Roman" w:hAnsi="Times New Roman" w:cs="Times New Roman"/>
          <w:noProof/>
          <w:sz w:val="24"/>
          <w:szCs w:val="24"/>
          <w:lang w:val="en-US"/>
        </w:rPr>
        <w:t>(2), 67-74.</w:t>
      </w:r>
    </w:p>
    <w:p w14:paraId="29E4FF0E"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Filipović, M. (2017). Pripremljenost za prirodne katastrofe izazvane zemljotresom: pregled literature. </w:t>
      </w:r>
      <w:r w:rsidRPr="006020DF">
        <w:rPr>
          <w:rFonts w:ascii="Times New Roman" w:hAnsi="Times New Roman" w:cs="Times New Roman"/>
          <w:i/>
          <w:iCs/>
          <w:noProof/>
          <w:sz w:val="24"/>
          <w:szCs w:val="24"/>
          <w:lang w:val="en-US"/>
        </w:rPr>
        <w:t>Bezbednost, 59</w:t>
      </w:r>
      <w:r w:rsidRPr="006020DF">
        <w:rPr>
          <w:rFonts w:ascii="Times New Roman" w:hAnsi="Times New Roman" w:cs="Times New Roman"/>
          <w:noProof/>
          <w:sz w:val="24"/>
          <w:szCs w:val="24"/>
          <w:lang w:val="en-US"/>
        </w:rPr>
        <w:t>(2), 114–129.</w:t>
      </w:r>
    </w:p>
    <w:p w14:paraId="5119933A"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Fishbein, M., &amp; Ajzen, I. (1975). Belief, attitude, intention and behaviour: An introduction to theory and research. Addison-Wesley.</w:t>
      </w:r>
    </w:p>
    <w:p w14:paraId="5D31FB6C"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Fothergill, A. (1996). Gender, risk, and disaster. </w:t>
      </w:r>
      <w:r w:rsidRPr="006020DF">
        <w:rPr>
          <w:rFonts w:ascii="Times New Roman" w:hAnsi="Times New Roman" w:cs="Times New Roman"/>
          <w:i/>
          <w:iCs/>
          <w:noProof/>
          <w:sz w:val="24"/>
          <w:szCs w:val="24"/>
          <w:lang w:val="en-US"/>
        </w:rPr>
        <w:t>International Journal of Mass Emergencies and Disasters, 14</w:t>
      </w:r>
      <w:r w:rsidRPr="006020DF">
        <w:rPr>
          <w:rFonts w:ascii="Times New Roman" w:hAnsi="Times New Roman" w:cs="Times New Roman"/>
          <w:noProof/>
          <w:sz w:val="24"/>
          <w:szCs w:val="24"/>
          <w:lang w:val="en-US"/>
        </w:rPr>
        <w:t>(1), 33-56.</w:t>
      </w:r>
    </w:p>
    <w:p w14:paraId="618758E4"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Ge, Y., Xu, W., Gu, Z.-H., Zhang, Y.-C., &amp; Chen, L. (2011). Risk perception and hazard mitigation in the Yangtze River Delta region, China. </w:t>
      </w:r>
      <w:r w:rsidRPr="006020DF">
        <w:rPr>
          <w:rFonts w:ascii="Times New Roman" w:hAnsi="Times New Roman" w:cs="Times New Roman"/>
          <w:i/>
          <w:iCs/>
          <w:noProof/>
          <w:sz w:val="24"/>
          <w:szCs w:val="24"/>
          <w:lang w:val="en-US"/>
        </w:rPr>
        <w:t>Natural hazards, 56</w:t>
      </w:r>
      <w:r w:rsidRPr="006020DF">
        <w:rPr>
          <w:rFonts w:ascii="Times New Roman" w:hAnsi="Times New Roman" w:cs="Times New Roman"/>
          <w:noProof/>
          <w:sz w:val="24"/>
          <w:szCs w:val="24"/>
          <w:lang w:val="en-US"/>
        </w:rPr>
        <w:t>(3), 633-648.</w:t>
      </w:r>
    </w:p>
    <w:p w14:paraId="206A09EF"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Greenberg, M. R., &amp; Schneider, D. F. (1995). Gender differences in risk perception: Effects differ in stressed vs. non‐stressed environments. </w:t>
      </w:r>
      <w:r w:rsidRPr="006020DF">
        <w:rPr>
          <w:rFonts w:ascii="Times New Roman" w:hAnsi="Times New Roman" w:cs="Times New Roman"/>
          <w:i/>
          <w:iCs/>
          <w:noProof/>
          <w:sz w:val="24"/>
          <w:szCs w:val="24"/>
          <w:lang w:val="en-US"/>
        </w:rPr>
        <w:t>Risk Analysis, 15</w:t>
      </w:r>
      <w:r w:rsidRPr="006020DF">
        <w:rPr>
          <w:rFonts w:ascii="Times New Roman" w:hAnsi="Times New Roman" w:cs="Times New Roman"/>
          <w:noProof/>
          <w:sz w:val="24"/>
          <w:szCs w:val="24"/>
          <w:lang w:val="en-US"/>
        </w:rPr>
        <w:t xml:space="preserve">(4), 503-511. </w:t>
      </w:r>
    </w:p>
    <w:p w14:paraId="1312B50F" w14:textId="4CC29803" w:rsidR="00E63D40" w:rsidRPr="006020DF" w:rsidRDefault="00E63D40"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lastRenderedPageBreak/>
        <w:t>Grozdanić, G., Cvetković, V. M., Lukić, T., &amp; Ivanov, A. (2024). Sustainable earthquake preparedness: a cross-cultural comparative analysis in Montenegro, North Macedonia, and Serbia. </w:t>
      </w:r>
      <w:r w:rsidRPr="006020DF">
        <w:rPr>
          <w:rFonts w:ascii="Times New Roman" w:hAnsi="Times New Roman" w:cs="Times New Roman"/>
          <w:i/>
          <w:iCs/>
          <w:noProof/>
          <w:sz w:val="24"/>
          <w:szCs w:val="24"/>
          <w:lang w:val="en-US"/>
        </w:rPr>
        <w:t>Sustainability</w:t>
      </w:r>
      <w:r w:rsidRPr="006020DF">
        <w:rPr>
          <w:rFonts w:ascii="Times New Roman" w:hAnsi="Times New Roman" w:cs="Times New Roman"/>
          <w:noProof/>
          <w:sz w:val="24"/>
          <w:szCs w:val="24"/>
          <w:lang w:val="en-US"/>
        </w:rPr>
        <w:t>, </w:t>
      </w:r>
      <w:r w:rsidRPr="006020DF">
        <w:rPr>
          <w:rFonts w:ascii="Times New Roman" w:hAnsi="Times New Roman" w:cs="Times New Roman"/>
          <w:i/>
          <w:iCs/>
          <w:noProof/>
          <w:sz w:val="24"/>
          <w:szCs w:val="24"/>
          <w:lang w:val="en-US"/>
        </w:rPr>
        <w:t>16</w:t>
      </w:r>
      <w:r w:rsidRPr="006020DF">
        <w:rPr>
          <w:rFonts w:ascii="Times New Roman" w:hAnsi="Times New Roman" w:cs="Times New Roman"/>
          <w:noProof/>
          <w:sz w:val="24"/>
          <w:szCs w:val="24"/>
          <w:lang w:val="en-US"/>
        </w:rPr>
        <w:t>(8), 3138.</w:t>
      </w:r>
    </w:p>
    <w:p w14:paraId="1F0BC6E8"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Güngörmüş, Z., Karabulutlu, E. Y., &amp; Yıldız, E. (2012). Determining the knowledge and behavior of the individuals about earthquake preparedness at home in Turkey. </w:t>
      </w:r>
      <w:r w:rsidRPr="006020DF">
        <w:rPr>
          <w:rFonts w:ascii="Times New Roman" w:hAnsi="Times New Roman" w:cs="Times New Roman"/>
          <w:i/>
          <w:iCs/>
          <w:noProof/>
          <w:sz w:val="24"/>
          <w:szCs w:val="24"/>
          <w:lang w:val="en-US"/>
        </w:rPr>
        <w:t>HealthMED, 4,</w:t>
      </w:r>
      <w:r w:rsidRPr="006020DF">
        <w:rPr>
          <w:rFonts w:ascii="Times New Roman" w:hAnsi="Times New Roman" w:cs="Times New Roman"/>
          <w:noProof/>
          <w:sz w:val="24"/>
          <w:szCs w:val="24"/>
          <w:lang w:val="en-US"/>
        </w:rPr>
        <w:t xml:space="preserve"> 232.</w:t>
      </w:r>
    </w:p>
    <w:p w14:paraId="21DA64C9"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Gustafsod, P. E. (1998). Gender Differences in risk perception: Theoretical and methodological perspectives. </w:t>
      </w:r>
      <w:r w:rsidRPr="006020DF">
        <w:rPr>
          <w:rFonts w:ascii="Times New Roman" w:hAnsi="Times New Roman" w:cs="Times New Roman"/>
          <w:i/>
          <w:iCs/>
          <w:noProof/>
          <w:sz w:val="24"/>
          <w:szCs w:val="24"/>
          <w:lang w:val="en-US"/>
        </w:rPr>
        <w:t>Risk analysis, 18</w:t>
      </w:r>
      <w:r w:rsidRPr="006020DF">
        <w:rPr>
          <w:rFonts w:ascii="Times New Roman" w:hAnsi="Times New Roman" w:cs="Times New Roman"/>
          <w:noProof/>
          <w:sz w:val="24"/>
          <w:szCs w:val="24"/>
          <w:lang w:val="en-US"/>
        </w:rPr>
        <w:t>(6), 805-811.</w:t>
      </w:r>
    </w:p>
    <w:p w14:paraId="525936D4" w14:textId="118CC506"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Izadkhah, Y. O., &amp; Hosseini, M. (2005). Towards resilient communities in developing countries through education of children for disaster preparedness. </w:t>
      </w:r>
      <w:r w:rsidRPr="006020DF">
        <w:rPr>
          <w:rFonts w:ascii="Times New Roman" w:hAnsi="Times New Roman" w:cs="Times New Roman"/>
          <w:i/>
          <w:iCs/>
          <w:noProof/>
          <w:sz w:val="24"/>
          <w:szCs w:val="24"/>
          <w:lang w:val="en-US"/>
        </w:rPr>
        <w:t xml:space="preserve">International </w:t>
      </w:r>
      <w:r w:rsidR="00DF425F" w:rsidRPr="006020DF">
        <w:rPr>
          <w:rFonts w:ascii="Times New Roman" w:hAnsi="Times New Roman" w:cs="Times New Roman"/>
          <w:i/>
          <w:iCs/>
          <w:noProof/>
          <w:sz w:val="24"/>
          <w:szCs w:val="24"/>
          <w:lang w:val="en-US"/>
        </w:rPr>
        <w:t>J</w:t>
      </w:r>
      <w:r w:rsidRPr="006020DF">
        <w:rPr>
          <w:rFonts w:ascii="Times New Roman" w:hAnsi="Times New Roman" w:cs="Times New Roman"/>
          <w:i/>
          <w:iCs/>
          <w:noProof/>
          <w:sz w:val="24"/>
          <w:szCs w:val="24"/>
          <w:lang w:val="en-US"/>
        </w:rPr>
        <w:t xml:space="preserve">ournal of </w:t>
      </w:r>
      <w:r w:rsidR="00DF425F" w:rsidRPr="006020DF">
        <w:rPr>
          <w:rFonts w:ascii="Times New Roman" w:hAnsi="Times New Roman" w:cs="Times New Roman"/>
          <w:i/>
          <w:iCs/>
          <w:noProof/>
          <w:sz w:val="24"/>
          <w:szCs w:val="24"/>
          <w:lang w:val="en-US"/>
        </w:rPr>
        <w:t>E</w:t>
      </w:r>
      <w:r w:rsidRPr="006020DF">
        <w:rPr>
          <w:rFonts w:ascii="Times New Roman" w:hAnsi="Times New Roman" w:cs="Times New Roman"/>
          <w:i/>
          <w:iCs/>
          <w:noProof/>
          <w:sz w:val="24"/>
          <w:szCs w:val="24"/>
          <w:lang w:val="en-US"/>
        </w:rPr>
        <w:t xml:space="preserve">mergency </w:t>
      </w:r>
      <w:r w:rsidR="00DF425F" w:rsidRPr="006020DF">
        <w:rPr>
          <w:rFonts w:ascii="Times New Roman" w:hAnsi="Times New Roman" w:cs="Times New Roman"/>
          <w:i/>
          <w:iCs/>
          <w:noProof/>
          <w:sz w:val="24"/>
          <w:szCs w:val="24"/>
          <w:lang w:val="en-US"/>
        </w:rPr>
        <w:t>M</w:t>
      </w:r>
      <w:r w:rsidRPr="006020DF">
        <w:rPr>
          <w:rFonts w:ascii="Times New Roman" w:hAnsi="Times New Roman" w:cs="Times New Roman"/>
          <w:i/>
          <w:iCs/>
          <w:noProof/>
          <w:sz w:val="24"/>
          <w:szCs w:val="24"/>
          <w:lang w:val="en-US"/>
        </w:rPr>
        <w:t>anagement, 2</w:t>
      </w:r>
      <w:r w:rsidRPr="006020DF">
        <w:rPr>
          <w:rFonts w:ascii="Times New Roman" w:hAnsi="Times New Roman" w:cs="Times New Roman"/>
          <w:noProof/>
          <w:sz w:val="24"/>
          <w:szCs w:val="24"/>
          <w:lang w:val="en-US"/>
        </w:rPr>
        <w:t>(3), 138-148.</w:t>
      </w:r>
    </w:p>
    <w:p w14:paraId="43994B9E" w14:textId="3E796C0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Jahangiri, A. (2010). High-density lipoprotein and the acute phase response. </w:t>
      </w:r>
      <w:r w:rsidRPr="006020DF">
        <w:rPr>
          <w:rFonts w:ascii="Times New Roman" w:hAnsi="Times New Roman" w:cs="Times New Roman"/>
          <w:i/>
          <w:iCs/>
          <w:noProof/>
          <w:sz w:val="24"/>
          <w:szCs w:val="24"/>
          <w:lang w:val="en-US"/>
        </w:rPr>
        <w:t>Current Opinion in Endocrinology, Diabetes &amp; Obesity, 17</w:t>
      </w:r>
      <w:r w:rsidRPr="006020DF">
        <w:rPr>
          <w:rFonts w:ascii="Times New Roman" w:hAnsi="Times New Roman" w:cs="Times New Roman"/>
          <w:noProof/>
          <w:sz w:val="24"/>
          <w:szCs w:val="24"/>
          <w:lang w:val="en-US"/>
        </w:rPr>
        <w:t xml:space="preserve">(2), 156–160. </w:t>
      </w:r>
    </w:p>
    <w:p w14:paraId="6AF6B5C0"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Johnson, V. A., Johnston, D. M., Ronan, K. R., &amp; Peace, R. (2014). Evaluating children’s learning of adaptive response capacities from ShakeOut, an earthquake and tsunami drill in two Washington State school districts. </w:t>
      </w:r>
      <w:r w:rsidRPr="006020DF">
        <w:rPr>
          <w:rFonts w:ascii="Times New Roman" w:hAnsi="Times New Roman" w:cs="Times New Roman"/>
          <w:i/>
          <w:iCs/>
          <w:noProof/>
          <w:sz w:val="24"/>
          <w:szCs w:val="24"/>
          <w:lang w:val="en-US"/>
        </w:rPr>
        <w:t>Journal of Homeland Security and Emergency Management, 11</w:t>
      </w:r>
      <w:r w:rsidRPr="006020DF">
        <w:rPr>
          <w:rFonts w:ascii="Times New Roman" w:hAnsi="Times New Roman" w:cs="Times New Roman"/>
          <w:noProof/>
          <w:sz w:val="24"/>
          <w:szCs w:val="24"/>
          <w:lang w:val="en-US"/>
        </w:rPr>
        <w:t xml:space="preserve">(3), 347-373. </w:t>
      </w:r>
    </w:p>
    <w:p w14:paraId="15A78049"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Kahn, M. E. (2005). The death toll from natural disasters: the role of income, geography, and institutions. </w:t>
      </w:r>
      <w:r w:rsidRPr="006020DF">
        <w:rPr>
          <w:rFonts w:ascii="Times New Roman" w:hAnsi="Times New Roman" w:cs="Times New Roman"/>
          <w:i/>
          <w:iCs/>
          <w:noProof/>
          <w:sz w:val="24"/>
          <w:szCs w:val="24"/>
          <w:lang w:val="en-US"/>
        </w:rPr>
        <w:t>Review of economics and statistics, 87</w:t>
      </w:r>
      <w:r w:rsidRPr="006020DF">
        <w:rPr>
          <w:rFonts w:ascii="Times New Roman" w:hAnsi="Times New Roman" w:cs="Times New Roman"/>
          <w:noProof/>
          <w:sz w:val="24"/>
          <w:szCs w:val="24"/>
          <w:lang w:val="en-US"/>
        </w:rPr>
        <w:t>(2), 271-284.</w:t>
      </w:r>
    </w:p>
    <w:p w14:paraId="55F13BF9"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Kalaça, S., Aytekin, B. A., &amp; Çalı, Ş. (2007, October). </w:t>
      </w:r>
      <w:r w:rsidRPr="006020DF">
        <w:rPr>
          <w:rFonts w:ascii="Times New Roman" w:hAnsi="Times New Roman" w:cs="Times New Roman"/>
          <w:i/>
          <w:iCs/>
          <w:noProof/>
          <w:sz w:val="24"/>
          <w:szCs w:val="24"/>
          <w:lang w:val="en-US"/>
        </w:rPr>
        <w:t>İstanbul'da Depreme Karşı Bireysel Düzeyde Önlem Almayı Belirleyen Faktörler</w:t>
      </w:r>
      <w:r w:rsidRPr="006020DF">
        <w:rPr>
          <w:rFonts w:ascii="Times New Roman" w:hAnsi="Times New Roman" w:cs="Times New Roman"/>
          <w:noProof/>
          <w:sz w:val="24"/>
          <w:szCs w:val="24"/>
          <w:lang w:val="en-US"/>
        </w:rPr>
        <w:t>. In 11th National Public Health Congress (pp. 23-26).</w:t>
      </w:r>
    </w:p>
    <w:p w14:paraId="229695ED" w14:textId="77777777" w:rsidR="005A42FB" w:rsidRPr="006020DF" w:rsidRDefault="005A42FB" w:rsidP="00870D48">
      <w:pPr>
        <w:spacing w:beforeLines="60" w:before="144" w:after="0" w:line="240" w:lineRule="auto"/>
        <w:ind w:firstLine="567"/>
        <w:jc w:val="both"/>
        <w:rPr>
          <w:rFonts w:ascii="Times New Roman" w:hAnsi="Times New Roman" w:cs="Times New Roman"/>
          <w:i/>
          <w:iCs/>
          <w:noProof/>
          <w:sz w:val="24"/>
          <w:szCs w:val="24"/>
          <w:lang w:val="en-US"/>
        </w:rPr>
      </w:pPr>
      <w:r w:rsidRPr="006020DF">
        <w:rPr>
          <w:rFonts w:ascii="Times New Roman" w:hAnsi="Times New Roman" w:cs="Times New Roman"/>
          <w:noProof/>
          <w:sz w:val="24"/>
          <w:szCs w:val="24"/>
          <w:lang w:val="en-US"/>
        </w:rPr>
        <w:t xml:space="preserve">Kerr, J., Nathan, S., Van Dissen, R., Webb, P., Brunsdon, D., &amp; King, A. (2003). Planning for development of land on or close to active faults. </w:t>
      </w:r>
      <w:r w:rsidRPr="006020DF">
        <w:rPr>
          <w:rFonts w:ascii="Times New Roman" w:hAnsi="Times New Roman" w:cs="Times New Roman"/>
          <w:i/>
          <w:iCs/>
          <w:noProof/>
          <w:sz w:val="24"/>
          <w:szCs w:val="24"/>
          <w:lang w:val="en-US"/>
        </w:rPr>
        <w:t>Wellington: Ministry for the Environment.</w:t>
      </w:r>
    </w:p>
    <w:p w14:paraId="0602701B"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Kim, Y. (2002). </w:t>
      </w:r>
      <w:r w:rsidRPr="006020DF">
        <w:rPr>
          <w:rFonts w:ascii="Times New Roman" w:hAnsi="Times New Roman" w:cs="Times New Roman"/>
          <w:i/>
          <w:iCs/>
          <w:noProof/>
          <w:sz w:val="24"/>
          <w:szCs w:val="24"/>
          <w:lang w:val="en-US"/>
        </w:rPr>
        <w:t>The impact of personal value structures on consumer pro-environmental attitudes, behaviors, and consumerism:</w:t>
      </w:r>
      <w:r w:rsidRPr="006020DF">
        <w:rPr>
          <w:rFonts w:ascii="Times New Roman" w:hAnsi="Times New Roman" w:cs="Times New Roman"/>
          <w:noProof/>
          <w:sz w:val="24"/>
          <w:szCs w:val="24"/>
          <w:lang w:val="en-US"/>
        </w:rPr>
        <w:t xml:space="preserve"> A cross-cultural study. Michigan State University.</w:t>
      </w:r>
    </w:p>
    <w:p w14:paraId="26936878"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Kirschenbaum, A. (2002). Disaster preparedness: A conceptual and empirical reevaluation. </w:t>
      </w:r>
      <w:r w:rsidRPr="006020DF">
        <w:rPr>
          <w:rFonts w:ascii="Times New Roman" w:hAnsi="Times New Roman" w:cs="Times New Roman"/>
          <w:i/>
          <w:iCs/>
          <w:noProof/>
          <w:sz w:val="24"/>
          <w:szCs w:val="24"/>
          <w:lang w:val="en-US"/>
        </w:rPr>
        <w:t>International Journal of Mass Emergencies and Disasters, 20</w:t>
      </w:r>
      <w:r w:rsidRPr="006020DF">
        <w:rPr>
          <w:rFonts w:ascii="Times New Roman" w:hAnsi="Times New Roman" w:cs="Times New Roman"/>
          <w:noProof/>
          <w:sz w:val="24"/>
          <w:szCs w:val="24"/>
          <w:lang w:val="en-US"/>
        </w:rPr>
        <w:t>(1), 5-28.</w:t>
      </w:r>
    </w:p>
    <w:p w14:paraId="001B80F7"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Kohn, S., Eaton, J. L., Feroz, S., Bainbridge, A. A., Hoolachan, J., &amp; Barnett, D. J. (2012). Personal disaster preparedness: an integrative review of the literature. </w:t>
      </w:r>
      <w:r w:rsidRPr="006020DF">
        <w:rPr>
          <w:rFonts w:ascii="Times New Roman" w:hAnsi="Times New Roman" w:cs="Times New Roman"/>
          <w:i/>
          <w:iCs/>
          <w:noProof/>
          <w:sz w:val="24"/>
          <w:szCs w:val="24"/>
          <w:lang w:val="en-US"/>
        </w:rPr>
        <w:t>Disaster medicine and public health preparedness, 6</w:t>
      </w:r>
      <w:r w:rsidRPr="006020DF">
        <w:rPr>
          <w:rFonts w:ascii="Times New Roman" w:hAnsi="Times New Roman" w:cs="Times New Roman"/>
          <w:noProof/>
          <w:sz w:val="24"/>
          <w:szCs w:val="24"/>
          <w:lang w:val="en-US"/>
        </w:rPr>
        <w:t>(03), 217-231.</w:t>
      </w:r>
    </w:p>
    <w:p w14:paraId="3A2F2E24"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Krishnaraj,  M. (1997). Gender issues in disaster management: The Latur earthquake. </w:t>
      </w:r>
      <w:r w:rsidRPr="006020DF">
        <w:rPr>
          <w:rFonts w:ascii="Times New Roman" w:hAnsi="Times New Roman" w:cs="Times New Roman"/>
          <w:i/>
          <w:iCs/>
          <w:noProof/>
          <w:sz w:val="24"/>
          <w:szCs w:val="24"/>
          <w:lang w:val="en-US"/>
        </w:rPr>
        <w:t>Gender, Technology and Development, 1</w:t>
      </w:r>
      <w:r w:rsidRPr="006020DF">
        <w:rPr>
          <w:rFonts w:ascii="Times New Roman" w:hAnsi="Times New Roman" w:cs="Times New Roman"/>
          <w:noProof/>
          <w:sz w:val="24"/>
          <w:szCs w:val="24"/>
          <w:lang w:val="en-US"/>
        </w:rPr>
        <w:t xml:space="preserve">(3), 395-411. </w:t>
      </w:r>
    </w:p>
    <w:p w14:paraId="3F09ED93"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Legrand, D. (2022). Which earthquake can trigger a volcanic eruption?. </w:t>
      </w:r>
      <w:r w:rsidRPr="006020DF">
        <w:rPr>
          <w:rFonts w:ascii="Times New Roman" w:hAnsi="Times New Roman" w:cs="Times New Roman"/>
          <w:i/>
          <w:iCs/>
          <w:noProof/>
          <w:sz w:val="24"/>
          <w:szCs w:val="24"/>
          <w:lang w:val="en-US"/>
        </w:rPr>
        <w:t>Journal of Volcanology and Geothermal Research, 432</w:t>
      </w:r>
      <w:r w:rsidRPr="006020DF">
        <w:rPr>
          <w:rFonts w:ascii="Times New Roman" w:hAnsi="Times New Roman" w:cs="Times New Roman"/>
          <w:noProof/>
          <w:sz w:val="24"/>
          <w:szCs w:val="24"/>
          <w:lang w:val="en-US"/>
        </w:rPr>
        <w:t>, 107698.</w:t>
      </w:r>
    </w:p>
    <w:p w14:paraId="7AEC081A"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Lehman, D. R., &amp; Taylor, S. E. (1987). Date with an earthquake: Coping with a probable, unpredictable disaster. </w:t>
      </w:r>
      <w:r w:rsidRPr="006020DF">
        <w:rPr>
          <w:rFonts w:ascii="Times New Roman" w:hAnsi="Times New Roman" w:cs="Times New Roman"/>
          <w:i/>
          <w:iCs/>
          <w:noProof/>
          <w:sz w:val="24"/>
          <w:szCs w:val="24"/>
          <w:lang w:val="en-US"/>
        </w:rPr>
        <w:t>Personality and Social Psychology Bulletin, 13</w:t>
      </w:r>
      <w:r w:rsidRPr="006020DF">
        <w:rPr>
          <w:rFonts w:ascii="Times New Roman" w:hAnsi="Times New Roman" w:cs="Times New Roman"/>
          <w:noProof/>
          <w:sz w:val="24"/>
          <w:szCs w:val="24"/>
          <w:lang w:val="en-US"/>
        </w:rPr>
        <w:t>(4), 546–555.</w:t>
      </w:r>
    </w:p>
    <w:p w14:paraId="4BFFB645"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Lin, Y. P., Chang, T. K., Wu, C. F., Chiang, T. C., &amp; Lin, S. H. (2006). Assessing impacts of typhoons and the Chi-Chi earthquake on Chenyulan watershed landscape pattern in central Taiwan using landscape metrics. </w:t>
      </w:r>
      <w:r w:rsidRPr="006020DF">
        <w:rPr>
          <w:rFonts w:ascii="Times New Roman" w:hAnsi="Times New Roman" w:cs="Times New Roman"/>
          <w:i/>
          <w:iCs/>
          <w:noProof/>
          <w:sz w:val="24"/>
          <w:szCs w:val="24"/>
          <w:lang w:val="en-US"/>
        </w:rPr>
        <w:t>Environmental Management, 38</w:t>
      </w:r>
      <w:r w:rsidRPr="006020DF">
        <w:rPr>
          <w:rFonts w:ascii="Times New Roman" w:hAnsi="Times New Roman" w:cs="Times New Roman"/>
          <w:noProof/>
          <w:sz w:val="24"/>
          <w:szCs w:val="24"/>
          <w:lang w:val="en-US"/>
        </w:rPr>
        <w:t xml:space="preserve">(1), 108–125. </w:t>
      </w:r>
    </w:p>
    <w:p w14:paraId="2C005367"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Lindell, M. (2013). North American cities at risk: Household responses to environmental hazards Cities at risk (pp. 109-130): Springer</w:t>
      </w:r>
    </w:p>
    <w:p w14:paraId="1EEED24D"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lastRenderedPageBreak/>
        <w:t xml:space="preserve">Lindell, M. K., &amp; Perry, R. W. (2000). Household adjustment to earthquake hazard: A review of research. </w:t>
      </w:r>
      <w:r w:rsidRPr="006020DF">
        <w:rPr>
          <w:rFonts w:ascii="Times New Roman" w:hAnsi="Times New Roman" w:cs="Times New Roman"/>
          <w:i/>
          <w:iCs/>
          <w:noProof/>
          <w:sz w:val="24"/>
          <w:szCs w:val="24"/>
          <w:lang w:val="en-US"/>
        </w:rPr>
        <w:t>Environment and Behavior, 32</w:t>
      </w:r>
      <w:r w:rsidRPr="006020DF">
        <w:rPr>
          <w:rFonts w:ascii="Times New Roman" w:hAnsi="Times New Roman" w:cs="Times New Roman"/>
          <w:noProof/>
          <w:sz w:val="24"/>
          <w:szCs w:val="24"/>
          <w:lang w:val="en-US"/>
        </w:rPr>
        <w:t>(4), 461–501.</w:t>
      </w:r>
    </w:p>
    <w:p w14:paraId="4B068C3E"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Lindell, M. K., &amp; Perry, R. W. (2012). The protective action decision model: Theoretical modifications and additional evidence. </w:t>
      </w:r>
      <w:r w:rsidRPr="006020DF">
        <w:rPr>
          <w:rFonts w:ascii="Times New Roman" w:hAnsi="Times New Roman" w:cs="Times New Roman"/>
          <w:i/>
          <w:iCs/>
          <w:noProof/>
          <w:sz w:val="24"/>
          <w:szCs w:val="24"/>
          <w:lang w:val="en-US"/>
        </w:rPr>
        <w:t>Risk Analysis: An International Journal</w:t>
      </w:r>
      <w:r w:rsidRPr="006020DF">
        <w:rPr>
          <w:rFonts w:ascii="Times New Roman" w:hAnsi="Times New Roman" w:cs="Times New Roman"/>
          <w:noProof/>
          <w:sz w:val="24"/>
          <w:szCs w:val="24"/>
          <w:lang w:val="en-US"/>
        </w:rPr>
        <w:t>, 32(4), 616–632.</w:t>
      </w:r>
    </w:p>
    <w:p w14:paraId="553F102C"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Lion, R., Meertens, R. M., &amp; Bot, I. (2002). Priorities in information desire about unknown risks. </w:t>
      </w:r>
      <w:r w:rsidRPr="006020DF">
        <w:rPr>
          <w:rFonts w:ascii="Times New Roman" w:hAnsi="Times New Roman" w:cs="Times New Roman"/>
          <w:i/>
          <w:iCs/>
          <w:noProof/>
          <w:sz w:val="24"/>
          <w:szCs w:val="24"/>
          <w:lang w:val="en-US"/>
        </w:rPr>
        <w:t>Risk Analysis: An International Journal, 22</w:t>
      </w:r>
      <w:r w:rsidRPr="006020DF">
        <w:rPr>
          <w:rFonts w:ascii="Times New Roman" w:hAnsi="Times New Roman" w:cs="Times New Roman"/>
          <w:noProof/>
          <w:sz w:val="24"/>
          <w:szCs w:val="24"/>
          <w:lang w:val="en-US"/>
        </w:rPr>
        <w:t>(4), 765-776.</w:t>
      </w:r>
    </w:p>
    <w:p w14:paraId="6F5C462B"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Madden, T. J., Ellen, P. S., &amp; Ajzen, I. (1992). A comparison of the theory of planned behavior and the theory of reasoned action. </w:t>
      </w:r>
      <w:r w:rsidRPr="006020DF">
        <w:rPr>
          <w:rFonts w:ascii="Times New Roman" w:hAnsi="Times New Roman" w:cs="Times New Roman"/>
          <w:i/>
          <w:iCs/>
          <w:noProof/>
          <w:sz w:val="24"/>
          <w:szCs w:val="24"/>
          <w:lang w:val="en-US"/>
        </w:rPr>
        <w:t>Personality and Social Psychology Bulletin, 18</w:t>
      </w:r>
      <w:r w:rsidRPr="006020DF">
        <w:rPr>
          <w:rFonts w:ascii="Times New Roman" w:hAnsi="Times New Roman" w:cs="Times New Roman"/>
          <w:noProof/>
          <w:sz w:val="24"/>
          <w:szCs w:val="24"/>
          <w:lang w:val="en-US"/>
        </w:rPr>
        <w:t>(1), 3–9.</w:t>
      </w:r>
    </w:p>
    <w:p w14:paraId="41FCC5D3"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Major, A. M. (1999). Gender differences in risk and communication behavior in response to an earthquake prediction. </w:t>
      </w:r>
      <w:r w:rsidRPr="006020DF">
        <w:rPr>
          <w:rFonts w:ascii="Times New Roman" w:hAnsi="Times New Roman" w:cs="Times New Roman"/>
          <w:i/>
          <w:iCs/>
          <w:noProof/>
          <w:sz w:val="24"/>
          <w:szCs w:val="24"/>
          <w:lang w:val="en-US"/>
        </w:rPr>
        <w:t>International Journal of Mass Emergencies and Disasters, 17</w:t>
      </w:r>
      <w:r w:rsidRPr="006020DF">
        <w:rPr>
          <w:rFonts w:ascii="Times New Roman" w:hAnsi="Times New Roman" w:cs="Times New Roman"/>
          <w:noProof/>
          <w:sz w:val="24"/>
          <w:szCs w:val="24"/>
          <w:lang w:val="en-US"/>
        </w:rPr>
        <w:t xml:space="preserve">(3), 313-338. </w:t>
      </w:r>
    </w:p>
    <w:p w14:paraId="193E0034"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McClure, J., Johnston, D., &amp; Henrich, L. (2013). Changes in preparedness and earthquake risk perception: lessons from the 2010 and 2011 Canterbury earthquakes. GNS Science Report.</w:t>
      </w:r>
    </w:p>
    <w:p w14:paraId="7A9A887A"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Melick, M. E., &amp; Logue, J. N. (1986). The effect of disaster on the health and well-being of older women. </w:t>
      </w:r>
      <w:r w:rsidRPr="006020DF">
        <w:rPr>
          <w:rFonts w:ascii="Times New Roman" w:hAnsi="Times New Roman" w:cs="Times New Roman"/>
          <w:i/>
          <w:iCs/>
          <w:noProof/>
          <w:sz w:val="24"/>
          <w:szCs w:val="24"/>
          <w:lang w:val="en-US"/>
        </w:rPr>
        <w:t>The International Journal of Aging and Human Development, 21</w:t>
      </w:r>
      <w:r w:rsidRPr="006020DF">
        <w:rPr>
          <w:rFonts w:ascii="Times New Roman" w:hAnsi="Times New Roman" w:cs="Times New Roman"/>
          <w:noProof/>
          <w:sz w:val="24"/>
          <w:szCs w:val="24"/>
          <w:lang w:val="en-US"/>
        </w:rPr>
        <w:t xml:space="preserve">(1), 27-38. </w:t>
      </w:r>
    </w:p>
    <w:p w14:paraId="1572BC5D"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Mileti, D. S., &amp; Darlington, J. (1995). Societal response to revised earthquake probabilities in the San Francisco Bay area. </w:t>
      </w:r>
      <w:r w:rsidRPr="006020DF">
        <w:rPr>
          <w:rFonts w:ascii="Times New Roman" w:hAnsi="Times New Roman" w:cs="Times New Roman"/>
          <w:i/>
          <w:iCs/>
          <w:noProof/>
          <w:sz w:val="24"/>
          <w:szCs w:val="24"/>
          <w:lang w:val="en-US"/>
        </w:rPr>
        <w:t>International Journal of Mass Emergencies and Disasters, 13</w:t>
      </w:r>
      <w:r w:rsidRPr="006020DF">
        <w:rPr>
          <w:rFonts w:ascii="Times New Roman" w:hAnsi="Times New Roman" w:cs="Times New Roman"/>
          <w:noProof/>
          <w:sz w:val="24"/>
          <w:szCs w:val="24"/>
          <w:lang w:val="en-US"/>
        </w:rPr>
        <w:t xml:space="preserve">(2), 119-145. </w:t>
      </w:r>
    </w:p>
    <w:p w14:paraId="6DB101FE"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Montaño, D. E., &amp; Kasprzyk, D. (2015). Theory of reasoned action, theory of planned behavior, and the integrated behavioral model. </w:t>
      </w:r>
      <w:r w:rsidRPr="006020DF">
        <w:rPr>
          <w:rFonts w:ascii="Times New Roman" w:hAnsi="Times New Roman" w:cs="Times New Roman"/>
          <w:i/>
          <w:iCs/>
          <w:noProof/>
          <w:sz w:val="24"/>
          <w:szCs w:val="24"/>
          <w:lang w:val="en-US"/>
        </w:rPr>
        <w:t>Health Behavior: Theory, Research and Practice, 70</w:t>
      </w:r>
      <w:r w:rsidRPr="006020DF">
        <w:rPr>
          <w:rFonts w:ascii="Times New Roman" w:hAnsi="Times New Roman" w:cs="Times New Roman"/>
          <w:noProof/>
          <w:sz w:val="24"/>
          <w:szCs w:val="24"/>
          <w:lang w:val="en-US"/>
        </w:rPr>
        <w:t>(4), 231.</w:t>
      </w:r>
    </w:p>
    <w:p w14:paraId="3AA64EAE"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Mulilis, J. P. (1996). Social considerations of disaster‐resistant technology: The person‐relative‐to‐event (PrE) model of coping with threat. </w:t>
      </w:r>
      <w:r w:rsidRPr="006020DF">
        <w:rPr>
          <w:rFonts w:ascii="Times New Roman" w:hAnsi="Times New Roman" w:cs="Times New Roman"/>
          <w:i/>
          <w:iCs/>
          <w:noProof/>
          <w:sz w:val="24"/>
          <w:szCs w:val="24"/>
          <w:lang w:val="en-US"/>
        </w:rPr>
        <w:t>Journal of Urban Technology, 3</w:t>
      </w:r>
      <w:r w:rsidRPr="006020DF">
        <w:rPr>
          <w:rFonts w:ascii="Times New Roman" w:hAnsi="Times New Roman" w:cs="Times New Roman"/>
          <w:noProof/>
          <w:sz w:val="24"/>
          <w:szCs w:val="24"/>
          <w:lang w:val="en-US"/>
        </w:rPr>
        <w:t>(3), 59–70.</w:t>
      </w:r>
    </w:p>
    <w:p w14:paraId="19254826"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Mulilis, J. P., Duval, T. S., &amp; Bovalino, K. (2000). Tornado preparedness of students, nonstudent renters, and nonstudent owners: Issues of PrE theory 1. </w:t>
      </w:r>
      <w:r w:rsidRPr="006020DF">
        <w:rPr>
          <w:rFonts w:ascii="Times New Roman" w:hAnsi="Times New Roman" w:cs="Times New Roman"/>
          <w:i/>
          <w:iCs/>
          <w:noProof/>
          <w:sz w:val="24"/>
          <w:szCs w:val="24"/>
          <w:lang w:val="en-US"/>
        </w:rPr>
        <w:t>Journal of Applied Social Psychology, 30</w:t>
      </w:r>
      <w:r w:rsidRPr="006020DF">
        <w:rPr>
          <w:rFonts w:ascii="Times New Roman" w:hAnsi="Times New Roman" w:cs="Times New Roman"/>
          <w:noProof/>
          <w:sz w:val="24"/>
          <w:szCs w:val="24"/>
          <w:lang w:val="en-US"/>
        </w:rPr>
        <w:t>(6), 1310–1329.</w:t>
      </w:r>
    </w:p>
    <w:p w14:paraId="464D929A"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Mulilis, J., &amp; Duval, T. S. (1995). Negative threat appeals and earthquake preparedness: A person‐relative‐to‐event (PrE) model of coping with threat 1. </w:t>
      </w:r>
      <w:r w:rsidRPr="006020DF">
        <w:rPr>
          <w:rFonts w:ascii="Times New Roman" w:hAnsi="Times New Roman" w:cs="Times New Roman"/>
          <w:i/>
          <w:iCs/>
          <w:noProof/>
          <w:sz w:val="24"/>
          <w:szCs w:val="24"/>
          <w:lang w:val="en-US"/>
        </w:rPr>
        <w:t>Journal of Applied Social Psychology, 25</w:t>
      </w:r>
      <w:r w:rsidRPr="006020DF">
        <w:rPr>
          <w:rFonts w:ascii="Times New Roman" w:hAnsi="Times New Roman" w:cs="Times New Roman"/>
          <w:noProof/>
          <w:sz w:val="24"/>
          <w:szCs w:val="24"/>
          <w:lang w:val="en-US"/>
        </w:rPr>
        <w:t>(15), 1319–1339.</w:t>
      </w:r>
    </w:p>
    <w:p w14:paraId="28FDEBA6"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Osaki, Y., &amp; Minowa, M. (2001). Factors associated with earthquake deaths in the great Hanshin-Awaji earthquake, 1995. </w:t>
      </w:r>
      <w:r w:rsidRPr="006020DF">
        <w:rPr>
          <w:rFonts w:ascii="Times New Roman" w:hAnsi="Times New Roman" w:cs="Times New Roman"/>
          <w:i/>
          <w:iCs/>
          <w:noProof/>
          <w:sz w:val="24"/>
          <w:szCs w:val="24"/>
          <w:lang w:val="en-US"/>
        </w:rPr>
        <w:t>American Journal of Epidemiology, 153</w:t>
      </w:r>
      <w:r w:rsidRPr="006020DF">
        <w:rPr>
          <w:rFonts w:ascii="Times New Roman" w:hAnsi="Times New Roman" w:cs="Times New Roman"/>
          <w:noProof/>
          <w:sz w:val="24"/>
          <w:szCs w:val="24"/>
          <w:lang w:val="en-US"/>
        </w:rPr>
        <w:t xml:space="preserve">(2), 153-156. </w:t>
      </w:r>
    </w:p>
    <w:p w14:paraId="304600A5" w14:textId="439685C8"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Parajuli, P., &amp; Parajuli, S. (2017). Knowledge Regarding Earthquake Preparedness Among the People of Biratnagar Sub-Metropolis of Eastern Nepal. Birat</w:t>
      </w:r>
      <w:r w:rsidR="00AA76B3" w:rsidRPr="006020DF">
        <w:rPr>
          <w:rFonts w:ascii="Times New Roman" w:hAnsi="Times New Roman" w:cs="Times New Roman"/>
          <w:noProof/>
          <w:sz w:val="24"/>
          <w:szCs w:val="24"/>
          <w:lang w:val="en-US"/>
        </w:rPr>
        <w:t>.</w:t>
      </w:r>
      <w:r w:rsidRPr="006020DF">
        <w:rPr>
          <w:rFonts w:ascii="Times New Roman" w:hAnsi="Times New Roman" w:cs="Times New Roman"/>
          <w:noProof/>
          <w:sz w:val="24"/>
          <w:szCs w:val="24"/>
          <w:lang w:val="en-US"/>
        </w:rPr>
        <w:t xml:space="preserve"> </w:t>
      </w:r>
      <w:r w:rsidRPr="006020DF">
        <w:rPr>
          <w:rFonts w:ascii="Times New Roman" w:hAnsi="Times New Roman" w:cs="Times New Roman"/>
          <w:i/>
          <w:iCs/>
          <w:noProof/>
          <w:sz w:val="24"/>
          <w:szCs w:val="24"/>
          <w:lang w:val="en-US"/>
        </w:rPr>
        <w:t>Journal of Health Sciences, 2</w:t>
      </w:r>
      <w:r w:rsidRPr="006020DF">
        <w:rPr>
          <w:rFonts w:ascii="Times New Roman" w:hAnsi="Times New Roman" w:cs="Times New Roman"/>
          <w:noProof/>
          <w:sz w:val="24"/>
          <w:szCs w:val="24"/>
          <w:lang w:val="en-US"/>
        </w:rPr>
        <w:t xml:space="preserve">(2), 201-205. </w:t>
      </w:r>
    </w:p>
    <w:p w14:paraId="08937C68" w14:textId="48EED560"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Paton, D. (2001). Responding to hazard effects: Promoting resilience and adjustment adoption. </w:t>
      </w:r>
      <w:r w:rsidRPr="006020DF">
        <w:rPr>
          <w:rFonts w:ascii="Times New Roman" w:hAnsi="Times New Roman" w:cs="Times New Roman"/>
          <w:i/>
          <w:iCs/>
          <w:noProof/>
          <w:sz w:val="24"/>
          <w:szCs w:val="24"/>
          <w:lang w:val="en-US"/>
        </w:rPr>
        <w:t>Australian Journal of Emergency Management,</w:t>
      </w:r>
      <w:r w:rsidR="00AA76B3" w:rsidRPr="006020DF">
        <w:rPr>
          <w:rFonts w:ascii="Times New Roman" w:hAnsi="Times New Roman" w:cs="Times New Roman"/>
          <w:i/>
          <w:iCs/>
          <w:noProof/>
          <w:sz w:val="24"/>
          <w:szCs w:val="24"/>
          <w:lang w:val="en-US"/>
        </w:rPr>
        <w:t xml:space="preserve"> </w:t>
      </w:r>
      <w:r w:rsidRPr="006020DF">
        <w:rPr>
          <w:rFonts w:ascii="Times New Roman" w:hAnsi="Times New Roman" w:cs="Times New Roman"/>
          <w:i/>
          <w:iCs/>
          <w:noProof/>
          <w:sz w:val="24"/>
          <w:szCs w:val="24"/>
          <w:lang w:val="en-US"/>
        </w:rPr>
        <w:t>16</w:t>
      </w:r>
      <w:r w:rsidRPr="006020DF">
        <w:rPr>
          <w:rFonts w:ascii="Times New Roman" w:hAnsi="Times New Roman" w:cs="Times New Roman"/>
          <w:noProof/>
          <w:sz w:val="24"/>
          <w:szCs w:val="24"/>
          <w:lang w:val="en-US"/>
        </w:rPr>
        <w:t xml:space="preserve">(1), 47–52. </w:t>
      </w:r>
    </w:p>
    <w:p w14:paraId="1D1859AE"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Paton, D., McClure, J., &amp; Bürgelt, P. T. (2006). Natural hazard resilience: The role of individual and household preparedness. </w:t>
      </w:r>
      <w:r w:rsidRPr="006020DF">
        <w:rPr>
          <w:rFonts w:ascii="Times New Roman" w:hAnsi="Times New Roman" w:cs="Times New Roman"/>
          <w:i/>
          <w:iCs/>
          <w:noProof/>
          <w:sz w:val="24"/>
          <w:szCs w:val="24"/>
          <w:lang w:val="en-US"/>
        </w:rPr>
        <w:t>Disaster Resilience: An Integrated Approach,</w:t>
      </w:r>
      <w:r w:rsidRPr="006020DF">
        <w:rPr>
          <w:rFonts w:ascii="Times New Roman" w:hAnsi="Times New Roman" w:cs="Times New Roman"/>
          <w:noProof/>
          <w:sz w:val="24"/>
          <w:szCs w:val="24"/>
          <w:lang w:val="en-US"/>
        </w:rPr>
        <w:t xml:space="preserve"> 105, 27.</w:t>
      </w:r>
    </w:p>
    <w:p w14:paraId="4A352F05"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lastRenderedPageBreak/>
        <w:t xml:space="preserve">Paul, B. K., &amp; Bhuiyan, R. H. (2010). Urban earthquake hazard: perceived seismic risk and preparedness in Dhaka City, Bangladesh. </w:t>
      </w:r>
      <w:r w:rsidRPr="006020DF">
        <w:rPr>
          <w:rFonts w:ascii="Times New Roman" w:hAnsi="Times New Roman" w:cs="Times New Roman"/>
          <w:i/>
          <w:iCs/>
          <w:noProof/>
          <w:sz w:val="24"/>
          <w:szCs w:val="24"/>
          <w:lang w:val="en-US"/>
        </w:rPr>
        <w:t>Disasters, 34</w:t>
      </w:r>
      <w:r w:rsidRPr="006020DF">
        <w:rPr>
          <w:rFonts w:ascii="Times New Roman" w:hAnsi="Times New Roman" w:cs="Times New Roman"/>
          <w:noProof/>
          <w:sz w:val="24"/>
          <w:szCs w:val="24"/>
          <w:lang w:val="en-US"/>
        </w:rPr>
        <w:t>(2), 337-359</w:t>
      </w:r>
    </w:p>
    <w:p w14:paraId="75599F3E"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Ranjbar, M., Soleimani, A. A., Sedghpour, B. S., Shahboulaghi, F. M., Paton, D., &amp; Noroozi, M. (2018). The predictors of earthquake preparedness in Tehran households. </w:t>
      </w:r>
      <w:r w:rsidRPr="006020DF">
        <w:rPr>
          <w:rFonts w:ascii="Times New Roman" w:hAnsi="Times New Roman" w:cs="Times New Roman"/>
          <w:i/>
          <w:iCs/>
          <w:noProof/>
          <w:sz w:val="24"/>
          <w:szCs w:val="24"/>
          <w:lang w:val="en-US"/>
        </w:rPr>
        <w:t>Electronic physician, 10</w:t>
      </w:r>
      <w:r w:rsidRPr="006020DF">
        <w:rPr>
          <w:rFonts w:ascii="Times New Roman" w:hAnsi="Times New Roman" w:cs="Times New Roman"/>
          <w:noProof/>
          <w:sz w:val="24"/>
          <w:szCs w:val="24"/>
          <w:lang w:val="en-US"/>
        </w:rPr>
        <w:t xml:space="preserve">(3), 6478–6486. </w:t>
      </w:r>
    </w:p>
    <w:p w14:paraId="0A3EF1DB"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Roces, M. C., White, M. E., Dayrit, M. M., &amp; Durkin, M. E. (1992). Risk factors for injuries due to the 1990 earthquake in Luzon, Philippines. </w:t>
      </w:r>
      <w:r w:rsidRPr="006020DF">
        <w:rPr>
          <w:rFonts w:ascii="Times New Roman" w:hAnsi="Times New Roman" w:cs="Times New Roman"/>
          <w:i/>
          <w:iCs/>
          <w:noProof/>
          <w:sz w:val="24"/>
          <w:szCs w:val="24"/>
          <w:lang w:val="en-US"/>
        </w:rPr>
        <w:t>Bulletin of the World Health Organization, 70</w:t>
      </w:r>
      <w:r w:rsidRPr="006020DF">
        <w:rPr>
          <w:rFonts w:ascii="Times New Roman" w:hAnsi="Times New Roman" w:cs="Times New Roman"/>
          <w:noProof/>
          <w:sz w:val="24"/>
          <w:szCs w:val="24"/>
          <w:lang w:val="en-US"/>
        </w:rPr>
        <w:t>(4), 509.</w:t>
      </w:r>
    </w:p>
    <w:p w14:paraId="2BD11A6E"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Rogers, R. W. (1983). Cognitive and psychological processes in fear appeals and attitude change: A revised theory of protection motivation. </w:t>
      </w:r>
      <w:r w:rsidRPr="006020DF">
        <w:rPr>
          <w:rFonts w:ascii="Times New Roman" w:hAnsi="Times New Roman" w:cs="Times New Roman"/>
          <w:i/>
          <w:iCs/>
          <w:noProof/>
          <w:sz w:val="24"/>
          <w:szCs w:val="24"/>
          <w:lang w:val="en-US"/>
        </w:rPr>
        <w:t>Social Psychophysiology: A Sourcebook,</w:t>
      </w:r>
      <w:r w:rsidRPr="006020DF">
        <w:rPr>
          <w:rFonts w:ascii="Times New Roman" w:hAnsi="Times New Roman" w:cs="Times New Roman"/>
          <w:noProof/>
          <w:sz w:val="24"/>
          <w:szCs w:val="24"/>
          <w:lang w:val="en-US"/>
        </w:rPr>
        <w:t xml:space="preserve"> 153–176.</w:t>
      </w:r>
    </w:p>
    <w:p w14:paraId="0FEFA676"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Rotter, J. B. (1966). Generalized expectancies for internal versus external control of reinforcement. </w:t>
      </w:r>
      <w:r w:rsidRPr="006020DF">
        <w:rPr>
          <w:rFonts w:ascii="Times New Roman" w:hAnsi="Times New Roman" w:cs="Times New Roman"/>
          <w:i/>
          <w:iCs/>
          <w:noProof/>
          <w:sz w:val="24"/>
          <w:szCs w:val="24"/>
          <w:lang w:val="en-US"/>
        </w:rPr>
        <w:t>Psychological monographs: General and applied, 80</w:t>
      </w:r>
      <w:r w:rsidRPr="006020DF">
        <w:rPr>
          <w:rFonts w:ascii="Times New Roman" w:hAnsi="Times New Roman" w:cs="Times New Roman"/>
          <w:noProof/>
          <w:sz w:val="24"/>
          <w:szCs w:val="24"/>
          <w:lang w:val="en-US"/>
        </w:rPr>
        <w:t xml:space="preserve">(1), 1. </w:t>
      </w:r>
    </w:p>
    <w:p w14:paraId="77D1AEB1"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Rotter, J. B. (1992). Some comments on the “Cognates of personal control”. Applied and Preventive Psychology, 1(2), 127–129.</w:t>
      </w:r>
    </w:p>
    <w:p w14:paraId="4227B47C"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Russell, L. A., Goltz, J. D., &amp; Bourque, L. B. (1995). Preparedness and hazard mitigation actions before and after two earthquakes. </w:t>
      </w:r>
      <w:r w:rsidRPr="006020DF">
        <w:rPr>
          <w:rFonts w:ascii="Times New Roman" w:hAnsi="Times New Roman" w:cs="Times New Roman"/>
          <w:i/>
          <w:iCs/>
          <w:noProof/>
          <w:sz w:val="24"/>
          <w:szCs w:val="24"/>
          <w:lang w:val="en-US"/>
        </w:rPr>
        <w:t>Environment and Behavior, 27</w:t>
      </w:r>
      <w:r w:rsidRPr="006020DF">
        <w:rPr>
          <w:rFonts w:ascii="Times New Roman" w:hAnsi="Times New Roman" w:cs="Times New Roman"/>
          <w:noProof/>
          <w:sz w:val="24"/>
          <w:szCs w:val="24"/>
          <w:lang w:val="en-US"/>
        </w:rPr>
        <w:t>(6), 744–770.</w:t>
      </w:r>
    </w:p>
    <w:p w14:paraId="0843E060"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Rüstemli, A., &amp; Karanci, A. N. (1999). Correlates of earthquake cognitions and preparedness behavior in a victimized population. </w:t>
      </w:r>
      <w:r w:rsidRPr="006020DF">
        <w:rPr>
          <w:rFonts w:ascii="Times New Roman" w:hAnsi="Times New Roman" w:cs="Times New Roman"/>
          <w:i/>
          <w:iCs/>
          <w:noProof/>
          <w:sz w:val="24"/>
          <w:szCs w:val="24"/>
          <w:lang w:val="en-US"/>
        </w:rPr>
        <w:t>The Journal of Social Psychology, 139</w:t>
      </w:r>
      <w:r w:rsidRPr="006020DF">
        <w:rPr>
          <w:rFonts w:ascii="Times New Roman" w:hAnsi="Times New Roman" w:cs="Times New Roman"/>
          <w:noProof/>
          <w:sz w:val="24"/>
          <w:szCs w:val="24"/>
          <w:lang w:val="en-US"/>
        </w:rPr>
        <w:t>(1), 91–101.</w:t>
      </w:r>
    </w:p>
    <w:p w14:paraId="2F0388DC"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Satriano, C., Wu, Y.-M., Zollo, A., &amp; Kanamori, H. (2011). Earthquake early warning: Concepts, methods and physical grounds. </w:t>
      </w:r>
      <w:r w:rsidRPr="006020DF">
        <w:rPr>
          <w:rFonts w:ascii="Times New Roman" w:hAnsi="Times New Roman" w:cs="Times New Roman"/>
          <w:i/>
          <w:iCs/>
          <w:noProof/>
          <w:sz w:val="24"/>
          <w:szCs w:val="24"/>
          <w:lang w:val="en-US"/>
        </w:rPr>
        <w:t>Soil Dynamics and Earthquake Engineering, 31</w:t>
      </w:r>
      <w:r w:rsidRPr="006020DF">
        <w:rPr>
          <w:rFonts w:ascii="Times New Roman" w:hAnsi="Times New Roman" w:cs="Times New Roman"/>
          <w:noProof/>
          <w:sz w:val="24"/>
          <w:szCs w:val="24"/>
          <w:lang w:val="en-US"/>
        </w:rPr>
        <w:t>(2), 106–118.</w:t>
      </w:r>
    </w:p>
    <w:p w14:paraId="35A62C6D"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Shaw, R., Kobayashi, K. S. H., &amp; Kobayashi, M. (2004). Linking experience, education, perception and earthquake preparedness. </w:t>
      </w:r>
      <w:r w:rsidRPr="006020DF">
        <w:rPr>
          <w:rFonts w:ascii="Times New Roman" w:hAnsi="Times New Roman" w:cs="Times New Roman"/>
          <w:i/>
          <w:iCs/>
          <w:noProof/>
          <w:sz w:val="24"/>
          <w:szCs w:val="24"/>
          <w:lang w:val="en-US"/>
        </w:rPr>
        <w:t>Disaster Prevention and Management, 13</w:t>
      </w:r>
      <w:r w:rsidRPr="006020DF">
        <w:rPr>
          <w:rFonts w:ascii="Times New Roman" w:hAnsi="Times New Roman" w:cs="Times New Roman"/>
          <w:noProof/>
          <w:sz w:val="24"/>
          <w:szCs w:val="24"/>
          <w:lang w:val="en-US"/>
        </w:rPr>
        <w:t>(1), 39-49.</w:t>
      </w:r>
    </w:p>
    <w:p w14:paraId="43031688"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Shaw, R., Sharma, A., &amp; Takeuchi, Y. (2009). Introduction: Indigenous knowledge and disaster risk reduction. In Indigenous knowledge and disaster risk reduction: From practice to policy. </w:t>
      </w:r>
      <w:r w:rsidRPr="006020DF">
        <w:rPr>
          <w:rFonts w:ascii="Times New Roman" w:hAnsi="Times New Roman" w:cs="Times New Roman"/>
          <w:i/>
          <w:iCs/>
          <w:noProof/>
          <w:sz w:val="24"/>
          <w:szCs w:val="24"/>
          <w:lang w:val="en-US"/>
        </w:rPr>
        <w:t>Nova Science Publishers, Inc.</w:t>
      </w:r>
      <w:r w:rsidRPr="006020DF">
        <w:rPr>
          <w:rFonts w:ascii="Times New Roman" w:hAnsi="Times New Roman" w:cs="Times New Roman"/>
          <w:noProof/>
          <w:sz w:val="24"/>
          <w:szCs w:val="24"/>
          <w:lang w:val="en-US"/>
        </w:rPr>
        <w:t xml:space="preserve"> 1-14</w:t>
      </w:r>
    </w:p>
    <w:p w14:paraId="68843D70"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Sheppard, B. H., Hartwick, J., &amp; Warshaw, P. R. (1988). The theory of reasoned action: A meta-analysis of past research with recommendations for modifications and future research. </w:t>
      </w:r>
      <w:r w:rsidRPr="006020DF">
        <w:rPr>
          <w:rFonts w:ascii="Times New Roman" w:hAnsi="Times New Roman" w:cs="Times New Roman"/>
          <w:i/>
          <w:iCs/>
          <w:noProof/>
          <w:sz w:val="24"/>
          <w:szCs w:val="24"/>
          <w:lang w:val="en-US"/>
        </w:rPr>
        <w:t>Journal of Consumer Research, 15</w:t>
      </w:r>
      <w:r w:rsidRPr="006020DF">
        <w:rPr>
          <w:rFonts w:ascii="Times New Roman" w:hAnsi="Times New Roman" w:cs="Times New Roman"/>
          <w:noProof/>
          <w:sz w:val="24"/>
          <w:szCs w:val="24"/>
          <w:lang w:val="en-US"/>
        </w:rPr>
        <w:t>(3), 325–343.</w:t>
      </w:r>
    </w:p>
    <w:p w14:paraId="3435F051"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Solberg, C., Rossetto, T., &amp; Joffe, H. (2010). The social psychology of seismic hazard adjustment: re-evaluating the international literature. </w:t>
      </w:r>
      <w:r w:rsidRPr="006020DF">
        <w:rPr>
          <w:rFonts w:ascii="Times New Roman" w:hAnsi="Times New Roman" w:cs="Times New Roman"/>
          <w:i/>
          <w:iCs/>
          <w:noProof/>
          <w:sz w:val="24"/>
          <w:szCs w:val="24"/>
          <w:lang w:val="en-US"/>
        </w:rPr>
        <w:t>Natural Hazards and Earth System Sciences, 10</w:t>
      </w:r>
      <w:r w:rsidRPr="006020DF">
        <w:rPr>
          <w:rFonts w:ascii="Times New Roman" w:hAnsi="Times New Roman" w:cs="Times New Roman"/>
          <w:noProof/>
          <w:sz w:val="24"/>
          <w:szCs w:val="24"/>
          <w:lang w:val="en-US"/>
        </w:rPr>
        <w:t xml:space="preserve">(8), 1663-1677. </w:t>
      </w:r>
    </w:p>
    <w:p w14:paraId="14512C38"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Spittal, M. J., McClure, J., Siegert, R. J., &amp; Walkey, F. H. (2008). Predictors of two types of earthquake preparation: Survival activities and mitigation activities. </w:t>
      </w:r>
      <w:r w:rsidRPr="006020DF">
        <w:rPr>
          <w:rFonts w:ascii="Times New Roman" w:hAnsi="Times New Roman" w:cs="Times New Roman"/>
          <w:i/>
          <w:iCs/>
          <w:noProof/>
          <w:sz w:val="24"/>
          <w:szCs w:val="24"/>
          <w:lang w:val="en-US"/>
        </w:rPr>
        <w:t>Environment and Behavior, 40</w:t>
      </w:r>
      <w:r w:rsidRPr="006020DF">
        <w:rPr>
          <w:rFonts w:ascii="Times New Roman" w:hAnsi="Times New Roman" w:cs="Times New Roman"/>
          <w:noProof/>
          <w:sz w:val="24"/>
          <w:szCs w:val="24"/>
          <w:lang w:val="en-US"/>
        </w:rPr>
        <w:t>(6), 798–817.</w:t>
      </w:r>
    </w:p>
    <w:p w14:paraId="091A1D30"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Tekeli-Yeşil, S., Dedeoğlu, N., Braun-Fahrlaender, C., &amp; Tanner, M. (2011). Earthquake awareness and perception of risk among the residents of Istanbul. </w:t>
      </w:r>
      <w:r w:rsidRPr="006020DF">
        <w:rPr>
          <w:rFonts w:ascii="Times New Roman" w:hAnsi="Times New Roman" w:cs="Times New Roman"/>
          <w:i/>
          <w:iCs/>
          <w:noProof/>
          <w:sz w:val="24"/>
          <w:szCs w:val="24"/>
          <w:lang w:val="en-US"/>
        </w:rPr>
        <w:t>Natural Hazards, 59</w:t>
      </w:r>
      <w:r w:rsidRPr="006020DF">
        <w:rPr>
          <w:rFonts w:ascii="Times New Roman" w:hAnsi="Times New Roman" w:cs="Times New Roman"/>
          <w:noProof/>
          <w:sz w:val="24"/>
          <w:szCs w:val="24"/>
          <w:lang w:val="en-US"/>
        </w:rPr>
        <w:t>, 427–446.</w:t>
      </w:r>
    </w:p>
    <w:p w14:paraId="49DE80CB"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lastRenderedPageBreak/>
        <w:t xml:space="preserve">Tekeli‐Yeşil, S., Dedeoğlu, N., Braun‐Fahrlaender, C., &amp; Tanner, M. (2010). Factors motivating individuals to take precautionary action for an expected earthquake in Istanbul. </w:t>
      </w:r>
      <w:r w:rsidRPr="006020DF">
        <w:rPr>
          <w:rFonts w:ascii="Times New Roman" w:hAnsi="Times New Roman" w:cs="Times New Roman"/>
          <w:i/>
          <w:iCs/>
          <w:noProof/>
          <w:sz w:val="24"/>
          <w:szCs w:val="24"/>
          <w:lang w:val="en-US"/>
        </w:rPr>
        <w:t>Risk Analysis: An International Journal, 30</w:t>
      </w:r>
      <w:r w:rsidRPr="006020DF">
        <w:rPr>
          <w:rFonts w:ascii="Times New Roman" w:hAnsi="Times New Roman" w:cs="Times New Roman"/>
          <w:noProof/>
          <w:sz w:val="24"/>
          <w:szCs w:val="24"/>
          <w:lang w:val="en-US"/>
        </w:rPr>
        <w:t>(8), 1181–1195.</w:t>
      </w:r>
    </w:p>
    <w:p w14:paraId="77FFDB16"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Tomio, J., Sato, H., Matsuda, Y., Koga, T., &amp; Mizumura, H. (2014). Household and community disaster preparedness in Japanese provincial city: A population-based household survey. </w:t>
      </w:r>
      <w:r w:rsidRPr="006020DF">
        <w:rPr>
          <w:rFonts w:ascii="Times New Roman" w:hAnsi="Times New Roman" w:cs="Times New Roman"/>
          <w:i/>
          <w:iCs/>
          <w:noProof/>
          <w:sz w:val="24"/>
          <w:szCs w:val="24"/>
          <w:lang w:val="en-US"/>
        </w:rPr>
        <w:t>Advances in Anthropology, 4</w:t>
      </w:r>
      <w:r w:rsidRPr="006020DF">
        <w:rPr>
          <w:rFonts w:ascii="Times New Roman" w:hAnsi="Times New Roman" w:cs="Times New Roman"/>
          <w:noProof/>
          <w:sz w:val="24"/>
          <w:szCs w:val="24"/>
          <w:lang w:val="en-US"/>
        </w:rPr>
        <w:t>(2), 68-77.</w:t>
      </w:r>
    </w:p>
    <w:p w14:paraId="2D84D80D"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Turner, R. H., Nigg, J. M., &amp; Paz, D. H. (1986). </w:t>
      </w:r>
      <w:r w:rsidRPr="006020DF">
        <w:rPr>
          <w:rFonts w:ascii="Times New Roman" w:hAnsi="Times New Roman" w:cs="Times New Roman"/>
          <w:i/>
          <w:iCs/>
          <w:noProof/>
          <w:sz w:val="24"/>
          <w:szCs w:val="24"/>
          <w:lang w:val="en-US"/>
        </w:rPr>
        <w:t>Waiting for disaster: Earthquake watch in California.</w:t>
      </w:r>
      <w:r w:rsidRPr="006020DF">
        <w:rPr>
          <w:rFonts w:ascii="Times New Roman" w:hAnsi="Times New Roman" w:cs="Times New Roman"/>
          <w:noProof/>
          <w:sz w:val="24"/>
          <w:szCs w:val="24"/>
          <w:lang w:val="en-US"/>
        </w:rPr>
        <w:t xml:space="preserve"> Univ of California Press.</w:t>
      </w:r>
    </w:p>
    <w:p w14:paraId="5C612457" w14:textId="77777777" w:rsidR="005A42FB" w:rsidRPr="006020DF" w:rsidRDefault="005A42FB"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Voon, J. P., Ngui, K. S., &amp; Agrawal, A. (2011). Determinants of willingness to purchase organic food: An exploratory study using structural equation modeling. </w:t>
      </w:r>
      <w:r w:rsidRPr="006020DF">
        <w:rPr>
          <w:rFonts w:ascii="Times New Roman" w:hAnsi="Times New Roman" w:cs="Times New Roman"/>
          <w:i/>
          <w:iCs/>
          <w:noProof/>
          <w:sz w:val="24"/>
          <w:szCs w:val="24"/>
          <w:lang w:val="en-US"/>
        </w:rPr>
        <w:t>International Food and Agribusiness Management Review, 14</w:t>
      </w:r>
      <w:r w:rsidRPr="006020DF">
        <w:rPr>
          <w:rFonts w:ascii="Times New Roman" w:hAnsi="Times New Roman" w:cs="Times New Roman"/>
          <w:noProof/>
          <w:sz w:val="24"/>
          <w:szCs w:val="24"/>
          <w:lang w:val="en-US"/>
        </w:rPr>
        <w:t>(2), 103–120.</w:t>
      </w:r>
    </w:p>
    <w:p w14:paraId="7C16C4FD" w14:textId="5D2486ED" w:rsidR="00F07ADC" w:rsidRPr="006020DF" w:rsidRDefault="00AF42AA" w:rsidP="00870D48">
      <w:pPr>
        <w:spacing w:beforeLines="60" w:before="144" w:after="0" w:line="240" w:lineRule="auto"/>
        <w:ind w:firstLine="567"/>
        <w:jc w:val="both"/>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 xml:space="preserve">  </w:t>
      </w:r>
    </w:p>
    <w:p w14:paraId="7735666C" w14:textId="65FF688A" w:rsidR="00AF42AA" w:rsidRPr="006020DF" w:rsidRDefault="00AF42AA" w:rsidP="00B06FBE">
      <w:pPr>
        <w:spacing w:after="0" w:line="240" w:lineRule="auto"/>
        <w:ind w:firstLine="567"/>
        <w:jc w:val="center"/>
        <w:rPr>
          <w:rFonts w:ascii="Times New Roman" w:hAnsi="Times New Roman" w:cs="Times New Roman"/>
          <w:b/>
          <w:bCs/>
          <w:iCs/>
          <w:sz w:val="24"/>
          <w:szCs w:val="24"/>
          <w:lang w:val="en-US"/>
        </w:rPr>
      </w:pPr>
      <w:r w:rsidRPr="006020DF">
        <w:rPr>
          <w:rFonts w:ascii="Times New Roman" w:hAnsi="Times New Roman" w:cs="Times New Roman"/>
          <w:b/>
          <w:bCs/>
          <w:iCs/>
          <w:sz w:val="24"/>
          <w:szCs w:val="24"/>
          <w:lang w:val="en-US"/>
        </w:rPr>
        <w:t>ПРИМЕНA ТЕОРИЈЕ ПЛАНИРАНОГ ПОНАШАЊА У АНАЛИЗИ ПРИПРЕМЉЕНОСТИ ГРАЂАНА НА ЗЕМЉОТРЕСЕ</w:t>
      </w:r>
    </w:p>
    <w:p w14:paraId="31302D4C" w14:textId="77777777" w:rsidR="00AF42AA" w:rsidRPr="006020DF" w:rsidRDefault="00AF42AA" w:rsidP="00AF42AA">
      <w:pPr>
        <w:spacing w:after="0" w:line="240" w:lineRule="auto"/>
        <w:ind w:firstLine="567"/>
        <w:jc w:val="both"/>
        <w:rPr>
          <w:rFonts w:ascii="Times New Roman" w:hAnsi="Times New Roman" w:cs="Times New Roman"/>
          <w:b/>
          <w:bCs/>
          <w:iCs/>
          <w:sz w:val="24"/>
          <w:szCs w:val="24"/>
          <w:lang w:val="en-US"/>
        </w:rPr>
      </w:pPr>
    </w:p>
    <w:p w14:paraId="185C6BEF" w14:textId="38136431" w:rsidR="00AF42AA" w:rsidRPr="006020DF" w:rsidRDefault="00AF42AA" w:rsidP="00AF42AA">
      <w:pPr>
        <w:spacing w:beforeLines="60" w:before="144" w:after="0" w:line="240" w:lineRule="auto"/>
        <w:ind w:firstLine="567"/>
        <w:jc w:val="center"/>
        <w:rPr>
          <w:rFonts w:ascii="Times New Roman" w:hAnsi="Times New Roman" w:cs="Times New Roman"/>
          <w:noProof/>
          <w:sz w:val="24"/>
          <w:szCs w:val="24"/>
          <w:lang w:val="en-US"/>
        </w:rPr>
      </w:pPr>
      <w:r w:rsidRPr="006020DF">
        <w:rPr>
          <w:rFonts w:ascii="Times New Roman" w:hAnsi="Times New Roman" w:cs="Times New Roman"/>
          <w:noProof/>
          <w:sz w:val="24"/>
          <w:szCs w:val="24"/>
          <w:lang w:val="en-US"/>
        </w:rPr>
        <w:t>Резиме</w:t>
      </w:r>
    </w:p>
    <w:p w14:paraId="61984B1F" w14:textId="0B1BBF35" w:rsidR="00AF42AA" w:rsidRPr="006020DF" w:rsidRDefault="00AF42AA" w:rsidP="00AF42AA">
      <w:pPr>
        <w:spacing w:before="100" w:beforeAutospacing="1" w:after="100" w:afterAutospacing="1" w:line="240" w:lineRule="auto"/>
        <w:jc w:val="both"/>
        <w:rPr>
          <w:rFonts w:ascii="Times New Roman" w:eastAsia="Times New Roman" w:hAnsi="Times New Roman" w:cs="Times New Roman"/>
          <w:sz w:val="24"/>
          <w:szCs w:val="24"/>
          <w:lang w:val="en-US"/>
        </w:rPr>
      </w:pPr>
      <w:proofErr w:type="spellStart"/>
      <w:r w:rsidRPr="006020DF">
        <w:rPr>
          <w:rFonts w:ascii="Times New Roman" w:eastAsia="Times New Roman" w:hAnsi="Times New Roman" w:cs="Times New Roman"/>
          <w:sz w:val="24"/>
          <w:szCs w:val="24"/>
          <w:lang w:val="en-US"/>
        </w:rPr>
        <w:t>Рад</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представља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концептуалну</w:t>
      </w:r>
      <w:proofErr w:type="spellEnd"/>
      <w:r w:rsidRPr="006020DF">
        <w:rPr>
          <w:rFonts w:ascii="Times New Roman" w:eastAsia="Times New Roman" w:hAnsi="Times New Roman" w:cs="Times New Roman"/>
          <w:sz w:val="24"/>
          <w:szCs w:val="24"/>
          <w:lang w:val="en-US"/>
        </w:rPr>
        <w:t xml:space="preserve"> и </w:t>
      </w:r>
      <w:proofErr w:type="spellStart"/>
      <w:r w:rsidRPr="006020DF">
        <w:rPr>
          <w:rFonts w:ascii="Times New Roman" w:eastAsia="Times New Roman" w:hAnsi="Times New Roman" w:cs="Times New Roman"/>
          <w:sz w:val="24"/>
          <w:szCs w:val="24"/>
          <w:lang w:val="en-US"/>
        </w:rPr>
        <w:t>прегледну</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студију</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циљем</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сагледавања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примене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Теорије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планираног</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понашања</w:t>
      </w:r>
      <w:proofErr w:type="spellEnd"/>
      <w:r w:rsidRPr="006020DF">
        <w:rPr>
          <w:rFonts w:ascii="Times New Roman" w:eastAsia="Times New Roman" w:hAnsi="Times New Roman" w:cs="Times New Roman"/>
          <w:sz w:val="24"/>
          <w:szCs w:val="24"/>
          <w:lang w:val="en-US"/>
        </w:rPr>
        <w:t xml:space="preserve"> (ТПП) у </w:t>
      </w:r>
      <w:proofErr w:type="spellStart"/>
      <w:r w:rsidRPr="006020DF">
        <w:rPr>
          <w:rFonts w:ascii="Times New Roman" w:eastAsia="Times New Roman" w:hAnsi="Times New Roman" w:cs="Times New Roman"/>
          <w:sz w:val="24"/>
          <w:szCs w:val="24"/>
          <w:lang w:val="en-US"/>
        </w:rPr>
        <w:t>анализи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припремљености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грађана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природне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катастрофе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изазване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земљотресима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Наиме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иако</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земљотреси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представљају</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једну</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од</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најразорнијих</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природних</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опасности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ниво</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индивидуалне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припремљености</w:t>
      </w:r>
      <w:proofErr w:type="spellEnd"/>
      <w:r w:rsidRPr="006020DF">
        <w:rPr>
          <w:rFonts w:ascii="Times New Roman" w:eastAsia="Times New Roman" w:hAnsi="Times New Roman" w:cs="Times New Roman"/>
          <w:sz w:val="24"/>
          <w:szCs w:val="24"/>
          <w:lang w:val="en-US"/>
        </w:rPr>
        <w:t xml:space="preserve"> у </w:t>
      </w:r>
      <w:proofErr w:type="spellStart"/>
      <w:r w:rsidRPr="006020DF">
        <w:rPr>
          <w:rFonts w:ascii="Times New Roman" w:eastAsia="Times New Roman" w:hAnsi="Times New Roman" w:cs="Times New Roman"/>
          <w:sz w:val="24"/>
          <w:szCs w:val="24"/>
          <w:lang w:val="en-US"/>
        </w:rPr>
        <w:t>многим</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друштвима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остаје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низак</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Стога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је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разумевање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бихевиоралних</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детерминанти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које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утичу</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припремљеност</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од</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изузетног</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значаја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ефикасно</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управљање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ризицима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од</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катастрофа</w:t>
      </w:r>
      <w:proofErr w:type="spellEnd"/>
      <w:r w:rsidR="003A5B40">
        <w:rPr>
          <w:rFonts w:ascii="Times New Roman" w:eastAsia="Times New Roman" w:hAnsi="Times New Roman" w:cs="Times New Roman"/>
          <w:sz w:val="24"/>
          <w:szCs w:val="24"/>
          <w:lang w:val="sr-Cyrl-RS"/>
        </w:rPr>
        <w:t xml:space="preserve"> изазваним земљотресима</w:t>
      </w:r>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Стога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ослањајући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оквир</w:t>
      </w:r>
      <w:proofErr w:type="spellEnd"/>
      <w:r w:rsidRPr="006020DF">
        <w:rPr>
          <w:rFonts w:ascii="Times New Roman" w:eastAsia="Times New Roman" w:hAnsi="Times New Roman" w:cs="Times New Roman"/>
          <w:sz w:val="24"/>
          <w:szCs w:val="24"/>
          <w:lang w:val="en-US"/>
        </w:rPr>
        <w:t xml:space="preserve"> ТПП, у </w:t>
      </w:r>
      <w:proofErr w:type="spellStart"/>
      <w:r w:rsidRPr="006020DF">
        <w:rPr>
          <w:rFonts w:ascii="Times New Roman" w:eastAsia="Times New Roman" w:hAnsi="Times New Roman" w:cs="Times New Roman"/>
          <w:sz w:val="24"/>
          <w:szCs w:val="24"/>
          <w:lang w:val="en-US"/>
        </w:rPr>
        <w:t>раду</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анализира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начин</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који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ставови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према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понашању</w:t>
      </w:r>
      <w:proofErr w:type="spellEnd"/>
      <w:r w:rsidRPr="006020DF">
        <w:rPr>
          <w:rFonts w:ascii="Times New Roman" w:eastAsia="Times New Roman" w:hAnsi="Times New Roman" w:cs="Times New Roman"/>
          <w:sz w:val="24"/>
          <w:szCs w:val="24"/>
          <w:lang w:val="en-US"/>
        </w:rPr>
        <w:t xml:space="preserve"> у </w:t>
      </w:r>
      <w:proofErr w:type="spellStart"/>
      <w:r w:rsidRPr="006020DF">
        <w:rPr>
          <w:rFonts w:ascii="Times New Roman" w:eastAsia="Times New Roman" w:hAnsi="Times New Roman" w:cs="Times New Roman"/>
          <w:sz w:val="24"/>
          <w:szCs w:val="24"/>
          <w:lang w:val="en-US"/>
        </w:rPr>
        <w:t>вези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припремљеношћу</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субјективне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норме</w:t>
      </w:r>
      <w:proofErr w:type="spellEnd"/>
      <w:r w:rsidRPr="006020DF">
        <w:rPr>
          <w:rFonts w:ascii="Times New Roman" w:eastAsia="Times New Roman" w:hAnsi="Times New Roman" w:cs="Times New Roman"/>
          <w:sz w:val="24"/>
          <w:szCs w:val="24"/>
          <w:lang w:val="en-US"/>
        </w:rPr>
        <w:t xml:space="preserve"> и </w:t>
      </w:r>
      <w:proofErr w:type="spellStart"/>
      <w:r w:rsidRPr="006020DF">
        <w:rPr>
          <w:rFonts w:ascii="Times New Roman" w:eastAsia="Times New Roman" w:hAnsi="Times New Roman" w:cs="Times New Roman"/>
          <w:sz w:val="24"/>
          <w:szCs w:val="24"/>
          <w:lang w:val="en-US"/>
        </w:rPr>
        <w:t>перципирана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контрола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понашања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обликују</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намере</w:t>
      </w:r>
      <w:proofErr w:type="spellEnd"/>
      <w:r w:rsidRPr="006020DF">
        <w:rPr>
          <w:rFonts w:ascii="Times New Roman" w:eastAsia="Times New Roman" w:hAnsi="Times New Roman" w:cs="Times New Roman"/>
          <w:sz w:val="24"/>
          <w:szCs w:val="24"/>
          <w:lang w:val="en-US"/>
        </w:rPr>
        <w:t xml:space="preserve"> и </w:t>
      </w:r>
      <w:proofErr w:type="spellStart"/>
      <w:r w:rsidRPr="006020DF">
        <w:rPr>
          <w:rFonts w:ascii="Times New Roman" w:eastAsia="Times New Roman" w:hAnsi="Times New Roman" w:cs="Times New Roman"/>
          <w:sz w:val="24"/>
          <w:szCs w:val="24"/>
          <w:lang w:val="en-US"/>
        </w:rPr>
        <w:t>понашање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појединаца</w:t>
      </w:r>
      <w:proofErr w:type="spellEnd"/>
      <w:r w:rsidRPr="006020DF">
        <w:rPr>
          <w:rFonts w:ascii="Times New Roman" w:eastAsia="Times New Roman" w:hAnsi="Times New Roman" w:cs="Times New Roman"/>
          <w:sz w:val="24"/>
          <w:szCs w:val="24"/>
          <w:lang w:val="en-US"/>
        </w:rPr>
        <w:t xml:space="preserve"> у </w:t>
      </w:r>
      <w:proofErr w:type="spellStart"/>
      <w:r w:rsidRPr="006020DF">
        <w:rPr>
          <w:rFonts w:ascii="Times New Roman" w:eastAsia="Times New Roman" w:hAnsi="Times New Roman" w:cs="Times New Roman"/>
          <w:sz w:val="24"/>
          <w:szCs w:val="24"/>
          <w:lang w:val="en-US"/>
        </w:rPr>
        <w:t>контексту</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припреме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земљотресе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Поред</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основних</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конструката</w:t>
      </w:r>
      <w:proofErr w:type="spellEnd"/>
      <w:r w:rsidRPr="006020DF">
        <w:rPr>
          <w:rFonts w:ascii="Times New Roman" w:eastAsia="Times New Roman" w:hAnsi="Times New Roman" w:cs="Times New Roman"/>
          <w:sz w:val="24"/>
          <w:szCs w:val="24"/>
          <w:lang w:val="en-US"/>
        </w:rPr>
        <w:t xml:space="preserve"> ТПП, </w:t>
      </w:r>
      <w:proofErr w:type="spellStart"/>
      <w:r w:rsidRPr="006020DF">
        <w:rPr>
          <w:rFonts w:ascii="Times New Roman" w:eastAsia="Times New Roman" w:hAnsi="Times New Roman" w:cs="Times New Roman"/>
          <w:sz w:val="24"/>
          <w:szCs w:val="24"/>
          <w:lang w:val="en-US"/>
        </w:rPr>
        <w:t>рад</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обухвата</w:t>
      </w:r>
      <w:proofErr w:type="spellEnd"/>
      <w:r w:rsidRPr="006020DF">
        <w:rPr>
          <w:rFonts w:ascii="Times New Roman" w:eastAsia="Times New Roman" w:hAnsi="Times New Roman" w:cs="Times New Roman"/>
          <w:sz w:val="24"/>
          <w:szCs w:val="24"/>
          <w:lang w:val="en-US"/>
        </w:rPr>
        <w:t xml:space="preserve"> и </w:t>
      </w:r>
      <w:proofErr w:type="spellStart"/>
      <w:r w:rsidRPr="006020DF">
        <w:rPr>
          <w:rFonts w:ascii="Times New Roman" w:eastAsia="Times New Roman" w:hAnsi="Times New Roman" w:cs="Times New Roman"/>
          <w:sz w:val="24"/>
          <w:szCs w:val="24"/>
          <w:lang w:val="en-US"/>
        </w:rPr>
        <w:t>преглед</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емпиријских</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налаза</w:t>
      </w:r>
      <w:proofErr w:type="spellEnd"/>
      <w:r w:rsidRPr="006020DF">
        <w:rPr>
          <w:rFonts w:ascii="Times New Roman" w:eastAsia="Times New Roman" w:hAnsi="Times New Roman" w:cs="Times New Roman"/>
          <w:sz w:val="24"/>
          <w:szCs w:val="24"/>
          <w:lang w:val="en-US"/>
        </w:rPr>
        <w:t xml:space="preserve"> о </w:t>
      </w:r>
      <w:proofErr w:type="spellStart"/>
      <w:r w:rsidRPr="006020DF">
        <w:rPr>
          <w:rFonts w:ascii="Times New Roman" w:eastAsia="Times New Roman" w:hAnsi="Times New Roman" w:cs="Times New Roman"/>
          <w:sz w:val="24"/>
          <w:szCs w:val="24"/>
          <w:lang w:val="en-US"/>
        </w:rPr>
        <w:t>низу</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социодемографских</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психолошких</w:t>
      </w:r>
      <w:proofErr w:type="spellEnd"/>
      <w:r w:rsidRPr="006020DF">
        <w:rPr>
          <w:rFonts w:ascii="Times New Roman" w:eastAsia="Times New Roman" w:hAnsi="Times New Roman" w:cs="Times New Roman"/>
          <w:sz w:val="24"/>
          <w:szCs w:val="24"/>
          <w:lang w:val="en-US"/>
        </w:rPr>
        <w:t xml:space="preserve"> и </w:t>
      </w:r>
      <w:proofErr w:type="spellStart"/>
      <w:r w:rsidRPr="006020DF">
        <w:rPr>
          <w:rFonts w:ascii="Times New Roman" w:eastAsia="Times New Roman" w:hAnsi="Times New Roman" w:cs="Times New Roman"/>
          <w:sz w:val="24"/>
          <w:szCs w:val="24"/>
          <w:lang w:val="en-US"/>
        </w:rPr>
        <w:t>контекстуалних</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фактора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као</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што</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су</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старост</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пол</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ниво</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образовања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приход</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перцепција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ризика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претходно</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искуство</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земљотресима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власништво</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над</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стамбеним</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објектом</w:t>
      </w:r>
      <w:proofErr w:type="spellEnd"/>
      <w:r w:rsidRPr="006020DF">
        <w:rPr>
          <w:rFonts w:ascii="Times New Roman" w:eastAsia="Times New Roman" w:hAnsi="Times New Roman" w:cs="Times New Roman"/>
          <w:sz w:val="24"/>
          <w:szCs w:val="24"/>
          <w:lang w:val="en-US"/>
        </w:rPr>
        <w:t xml:space="preserve"> и </w:t>
      </w:r>
      <w:proofErr w:type="spellStart"/>
      <w:r w:rsidRPr="006020DF">
        <w:rPr>
          <w:rFonts w:ascii="Times New Roman" w:eastAsia="Times New Roman" w:hAnsi="Times New Roman" w:cs="Times New Roman"/>
          <w:sz w:val="24"/>
          <w:szCs w:val="24"/>
          <w:lang w:val="en-US"/>
        </w:rPr>
        <w:t>поверење</w:t>
      </w:r>
      <w:proofErr w:type="spellEnd"/>
      <w:r w:rsidRPr="006020DF">
        <w:rPr>
          <w:rFonts w:ascii="Times New Roman" w:eastAsia="Times New Roman" w:hAnsi="Times New Roman" w:cs="Times New Roman"/>
          <w:sz w:val="24"/>
          <w:szCs w:val="24"/>
          <w:lang w:val="en-US"/>
        </w:rPr>
        <w:t xml:space="preserve"> у </w:t>
      </w:r>
      <w:proofErr w:type="spellStart"/>
      <w:r w:rsidRPr="006020DF">
        <w:rPr>
          <w:rFonts w:ascii="Times New Roman" w:eastAsia="Times New Roman" w:hAnsi="Times New Roman" w:cs="Times New Roman"/>
          <w:sz w:val="24"/>
          <w:szCs w:val="24"/>
          <w:lang w:val="en-US"/>
        </w:rPr>
        <w:t>институције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који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су</w:t>
      </w:r>
      <w:proofErr w:type="spellEnd"/>
      <w:r w:rsidRPr="006020DF">
        <w:rPr>
          <w:rFonts w:ascii="Times New Roman" w:eastAsia="Times New Roman" w:hAnsi="Times New Roman" w:cs="Times New Roman"/>
          <w:sz w:val="24"/>
          <w:szCs w:val="24"/>
          <w:lang w:val="en-US"/>
        </w:rPr>
        <w:t xml:space="preserve"> у </w:t>
      </w:r>
      <w:proofErr w:type="spellStart"/>
      <w:r w:rsidRPr="006020DF">
        <w:rPr>
          <w:rFonts w:ascii="Times New Roman" w:eastAsia="Times New Roman" w:hAnsi="Times New Roman" w:cs="Times New Roman"/>
          <w:sz w:val="24"/>
          <w:szCs w:val="24"/>
          <w:lang w:val="en-US"/>
        </w:rPr>
        <w:t>досадашњим</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истраживањима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идентификовани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као</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значајни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предиктори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припремљености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Анализа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указује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да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припремљеност</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земљотресе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није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условљена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искључиво</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објективним</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карактеристикама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опасности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већ</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да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је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резултат</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сложене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интеракције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индивидуалних</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уверења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друштвених</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утицаја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перципиране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контроле</w:t>
      </w:r>
      <w:proofErr w:type="spellEnd"/>
      <w:r w:rsidRPr="006020DF">
        <w:rPr>
          <w:rFonts w:ascii="Times New Roman" w:eastAsia="Times New Roman" w:hAnsi="Times New Roman" w:cs="Times New Roman"/>
          <w:sz w:val="24"/>
          <w:szCs w:val="24"/>
          <w:lang w:val="en-US"/>
        </w:rPr>
        <w:t xml:space="preserve"> и </w:t>
      </w:r>
      <w:proofErr w:type="spellStart"/>
      <w:r w:rsidRPr="006020DF">
        <w:rPr>
          <w:rFonts w:ascii="Times New Roman" w:eastAsia="Times New Roman" w:hAnsi="Times New Roman" w:cs="Times New Roman"/>
          <w:sz w:val="24"/>
          <w:szCs w:val="24"/>
          <w:lang w:val="en-US"/>
        </w:rPr>
        <w:t>доступних</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ресурса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Резултати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потврђују</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вредност</w:t>
      </w:r>
      <w:proofErr w:type="spellEnd"/>
      <w:r w:rsidRPr="006020DF">
        <w:rPr>
          <w:rFonts w:ascii="Times New Roman" w:eastAsia="Times New Roman" w:hAnsi="Times New Roman" w:cs="Times New Roman"/>
          <w:sz w:val="24"/>
          <w:szCs w:val="24"/>
          <w:lang w:val="en-US"/>
        </w:rPr>
        <w:t xml:space="preserve"> ТПП </w:t>
      </w:r>
      <w:proofErr w:type="spellStart"/>
      <w:r w:rsidRPr="006020DF">
        <w:rPr>
          <w:rFonts w:ascii="Times New Roman" w:eastAsia="Times New Roman" w:hAnsi="Times New Roman" w:cs="Times New Roman"/>
          <w:sz w:val="24"/>
          <w:szCs w:val="24"/>
          <w:lang w:val="en-US"/>
        </w:rPr>
        <w:t>као</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релевантног</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теоријског</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оквира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објашњавање</w:t>
      </w:r>
      <w:proofErr w:type="spellEnd"/>
      <w:r w:rsidRPr="006020DF">
        <w:rPr>
          <w:rFonts w:ascii="Times New Roman" w:eastAsia="Times New Roman" w:hAnsi="Times New Roman" w:cs="Times New Roman"/>
          <w:sz w:val="24"/>
          <w:szCs w:val="24"/>
          <w:lang w:val="en-US"/>
        </w:rPr>
        <w:t xml:space="preserve"> и </w:t>
      </w:r>
      <w:proofErr w:type="spellStart"/>
      <w:r w:rsidRPr="006020DF">
        <w:rPr>
          <w:rFonts w:ascii="Times New Roman" w:eastAsia="Times New Roman" w:hAnsi="Times New Roman" w:cs="Times New Roman"/>
          <w:sz w:val="24"/>
          <w:szCs w:val="24"/>
          <w:lang w:val="en-US"/>
        </w:rPr>
        <w:t>предвиђање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понашања</w:t>
      </w:r>
      <w:proofErr w:type="spellEnd"/>
      <w:r w:rsidRPr="006020DF">
        <w:rPr>
          <w:rFonts w:ascii="Times New Roman" w:eastAsia="Times New Roman" w:hAnsi="Times New Roman" w:cs="Times New Roman"/>
          <w:sz w:val="24"/>
          <w:szCs w:val="24"/>
          <w:lang w:val="en-US"/>
        </w:rPr>
        <w:t xml:space="preserve"> у </w:t>
      </w:r>
      <w:proofErr w:type="spellStart"/>
      <w:r w:rsidRPr="006020DF">
        <w:rPr>
          <w:rFonts w:ascii="Times New Roman" w:eastAsia="Times New Roman" w:hAnsi="Times New Roman" w:cs="Times New Roman"/>
          <w:sz w:val="24"/>
          <w:szCs w:val="24"/>
          <w:lang w:val="en-US"/>
        </w:rPr>
        <w:t>контексту</w:t>
      </w:r>
      <w:proofErr w:type="spellEnd"/>
      <w:r w:rsidRPr="006020DF">
        <w:rPr>
          <w:rFonts w:ascii="Times New Roman" w:eastAsia="Times New Roman" w:hAnsi="Times New Roman" w:cs="Times New Roman"/>
          <w:sz w:val="24"/>
          <w:szCs w:val="24"/>
          <w:lang w:val="en-US"/>
        </w:rPr>
        <w:t xml:space="preserve"> </w:t>
      </w:r>
      <w:r w:rsidR="003A5B40">
        <w:rPr>
          <w:rFonts w:ascii="Times New Roman" w:eastAsia="Times New Roman" w:hAnsi="Times New Roman" w:cs="Times New Roman"/>
          <w:sz w:val="24"/>
          <w:szCs w:val="24"/>
          <w:lang w:val="sr-Cyrl-RS"/>
        </w:rPr>
        <w:t xml:space="preserve">припремљености за </w:t>
      </w:r>
      <w:proofErr w:type="spellStart"/>
      <w:r w:rsidRPr="006020DF">
        <w:rPr>
          <w:rFonts w:ascii="Times New Roman" w:eastAsia="Times New Roman" w:hAnsi="Times New Roman" w:cs="Times New Roman"/>
          <w:sz w:val="24"/>
          <w:szCs w:val="24"/>
          <w:lang w:val="en-US"/>
        </w:rPr>
        <w:t>катастроф</w:t>
      </w:r>
      <w:proofErr w:type="spellEnd"/>
      <w:r w:rsidR="003A5B40">
        <w:rPr>
          <w:rFonts w:ascii="Times New Roman" w:eastAsia="Times New Roman" w:hAnsi="Times New Roman" w:cs="Times New Roman"/>
          <w:sz w:val="24"/>
          <w:szCs w:val="24"/>
          <w:lang w:val="sr-Cyrl-RS"/>
        </w:rPr>
        <w:t>е</w:t>
      </w:r>
      <w:r w:rsidRPr="006020DF">
        <w:rPr>
          <w:rFonts w:ascii="Times New Roman" w:eastAsia="Times New Roman" w:hAnsi="Times New Roman" w:cs="Times New Roman"/>
          <w:sz w:val="24"/>
          <w:szCs w:val="24"/>
          <w:lang w:val="en-US"/>
        </w:rPr>
        <w:t xml:space="preserve">. У </w:t>
      </w:r>
      <w:proofErr w:type="spellStart"/>
      <w:r w:rsidRPr="006020DF">
        <w:rPr>
          <w:rFonts w:ascii="Times New Roman" w:eastAsia="Times New Roman" w:hAnsi="Times New Roman" w:cs="Times New Roman"/>
          <w:sz w:val="24"/>
          <w:szCs w:val="24"/>
          <w:lang w:val="en-US"/>
        </w:rPr>
        <w:t>закључку</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истиче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да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идентификовање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бихевиоралних</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предиктора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заснованих</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на</w:t>
      </w:r>
      <w:proofErr w:type="spellEnd"/>
      <w:r w:rsidRPr="006020DF">
        <w:rPr>
          <w:rFonts w:ascii="Times New Roman" w:eastAsia="Times New Roman" w:hAnsi="Times New Roman" w:cs="Times New Roman"/>
          <w:sz w:val="24"/>
          <w:szCs w:val="24"/>
          <w:lang w:val="en-US"/>
        </w:rPr>
        <w:t xml:space="preserve"> ТПП </w:t>
      </w:r>
      <w:proofErr w:type="spellStart"/>
      <w:r w:rsidRPr="006020DF">
        <w:rPr>
          <w:rFonts w:ascii="Times New Roman" w:eastAsia="Times New Roman" w:hAnsi="Times New Roman" w:cs="Times New Roman"/>
          <w:sz w:val="24"/>
          <w:szCs w:val="24"/>
          <w:lang w:val="en-US"/>
        </w:rPr>
        <w:t>може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допринети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унапређењу</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припремљености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грађана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земљотресе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као</w:t>
      </w:r>
      <w:proofErr w:type="spellEnd"/>
      <w:r w:rsidRPr="006020DF">
        <w:rPr>
          <w:rFonts w:ascii="Times New Roman" w:eastAsia="Times New Roman" w:hAnsi="Times New Roman" w:cs="Times New Roman"/>
          <w:sz w:val="24"/>
          <w:szCs w:val="24"/>
          <w:lang w:val="en-US"/>
        </w:rPr>
        <w:t xml:space="preserve"> и </w:t>
      </w:r>
      <w:proofErr w:type="spellStart"/>
      <w:r w:rsidRPr="006020DF">
        <w:rPr>
          <w:rFonts w:ascii="Times New Roman" w:eastAsia="Times New Roman" w:hAnsi="Times New Roman" w:cs="Times New Roman"/>
          <w:sz w:val="24"/>
          <w:szCs w:val="24"/>
          <w:lang w:val="en-US"/>
        </w:rPr>
        <w:t>јачању</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ефикасности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система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управљања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ризицима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од</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катастрофа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Добијени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увиди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могу</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послужити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као</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основа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за</w:t>
      </w:r>
      <w:proofErr w:type="spellEnd"/>
      <w:r w:rsidRPr="006020DF">
        <w:rPr>
          <w:rFonts w:ascii="Times New Roman" w:eastAsia="Times New Roman" w:hAnsi="Times New Roman" w:cs="Times New Roman"/>
          <w:sz w:val="24"/>
          <w:szCs w:val="24"/>
          <w:lang w:val="en-US"/>
        </w:rPr>
        <w:t xml:space="preserve"> </w:t>
      </w:r>
      <w:r w:rsidR="003A5B40">
        <w:rPr>
          <w:rFonts w:ascii="Times New Roman" w:eastAsia="Times New Roman" w:hAnsi="Times New Roman" w:cs="Times New Roman"/>
          <w:sz w:val="24"/>
          <w:szCs w:val="24"/>
          <w:lang w:val="sr-Cyrl-RS"/>
        </w:rPr>
        <w:t xml:space="preserve">нова емпиријска истраживања, као и  за </w:t>
      </w:r>
      <w:proofErr w:type="spellStart"/>
      <w:r w:rsidRPr="006020DF">
        <w:rPr>
          <w:rFonts w:ascii="Times New Roman" w:eastAsia="Times New Roman" w:hAnsi="Times New Roman" w:cs="Times New Roman"/>
          <w:sz w:val="24"/>
          <w:szCs w:val="24"/>
          <w:lang w:val="en-US"/>
        </w:rPr>
        <w:t>развој</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циљаних</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програма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припремљености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образовних</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иницијатива</w:t>
      </w:r>
      <w:proofErr w:type="spellEnd"/>
      <w:r w:rsidRPr="006020DF">
        <w:rPr>
          <w:rFonts w:ascii="Times New Roman" w:eastAsia="Times New Roman" w:hAnsi="Times New Roman" w:cs="Times New Roman"/>
          <w:sz w:val="24"/>
          <w:szCs w:val="24"/>
          <w:lang w:val="en-US"/>
        </w:rPr>
        <w:t xml:space="preserve"> и </w:t>
      </w:r>
      <w:proofErr w:type="spellStart"/>
      <w:r w:rsidRPr="006020DF">
        <w:rPr>
          <w:rFonts w:ascii="Times New Roman" w:eastAsia="Times New Roman" w:hAnsi="Times New Roman" w:cs="Times New Roman"/>
          <w:sz w:val="24"/>
          <w:szCs w:val="24"/>
          <w:lang w:val="en-US"/>
        </w:rPr>
        <w:t>јавних</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политика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усмерених</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унапређење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индивидуалне</w:t>
      </w:r>
      <w:proofErr w:type="spellEnd"/>
      <w:r w:rsidRPr="006020DF">
        <w:rPr>
          <w:rFonts w:ascii="Times New Roman" w:eastAsia="Times New Roman" w:hAnsi="Times New Roman" w:cs="Times New Roman"/>
          <w:sz w:val="24"/>
          <w:szCs w:val="24"/>
          <w:lang w:val="en-US"/>
        </w:rPr>
        <w:t xml:space="preserve"> и </w:t>
      </w:r>
      <w:proofErr w:type="spellStart"/>
      <w:r w:rsidRPr="006020DF">
        <w:rPr>
          <w:rFonts w:ascii="Times New Roman" w:eastAsia="Times New Roman" w:hAnsi="Times New Roman" w:cs="Times New Roman"/>
          <w:sz w:val="24"/>
          <w:szCs w:val="24"/>
          <w:lang w:val="en-US"/>
        </w:rPr>
        <w:t>друштвене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отпорности</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на</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катастрофе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изазване</w:t>
      </w:r>
      <w:proofErr w:type="spellEnd"/>
      <w:r w:rsidRPr="006020DF">
        <w:rPr>
          <w:rFonts w:ascii="Times New Roman" w:eastAsia="Times New Roman" w:hAnsi="Times New Roman" w:cs="Times New Roman"/>
          <w:sz w:val="24"/>
          <w:szCs w:val="24"/>
          <w:lang w:val="en-US"/>
        </w:rPr>
        <w:t xml:space="preserve"> </w:t>
      </w:r>
      <w:proofErr w:type="spellStart"/>
      <w:r w:rsidRPr="006020DF">
        <w:rPr>
          <w:rFonts w:ascii="Times New Roman" w:eastAsia="Times New Roman" w:hAnsi="Times New Roman" w:cs="Times New Roman"/>
          <w:sz w:val="24"/>
          <w:szCs w:val="24"/>
          <w:lang w:val="en-US"/>
        </w:rPr>
        <w:t>земљотресима</w:t>
      </w:r>
      <w:proofErr w:type="spellEnd"/>
      <w:r w:rsidRPr="006020DF">
        <w:rPr>
          <w:rFonts w:ascii="Times New Roman" w:eastAsia="Times New Roman" w:hAnsi="Times New Roman" w:cs="Times New Roman"/>
          <w:sz w:val="24"/>
          <w:szCs w:val="24"/>
          <w:lang w:val="en-US"/>
        </w:rPr>
        <w:t>.</w:t>
      </w:r>
    </w:p>
    <w:p w14:paraId="64519F6E" w14:textId="77777777" w:rsidR="00AF42AA" w:rsidRPr="006020DF" w:rsidRDefault="00AF42AA" w:rsidP="00AF42AA">
      <w:pPr>
        <w:spacing w:beforeLines="60" w:before="144" w:after="0" w:line="240" w:lineRule="auto"/>
        <w:ind w:firstLine="567"/>
        <w:jc w:val="both"/>
        <w:rPr>
          <w:rFonts w:ascii="Times New Roman" w:hAnsi="Times New Roman" w:cs="Times New Roman"/>
          <w:noProof/>
          <w:sz w:val="24"/>
          <w:szCs w:val="24"/>
          <w:lang w:val="en-US"/>
        </w:rPr>
      </w:pPr>
    </w:p>
    <w:p w14:paraId="57D523A0" w14:textId="77777777" w:rsidR="00A265F1" w:rsidRPr="006020DF" w:rsidRDefault="00A265F1" w:rsidP="00AF42AA">
      <w:pPr>
        <w:spacing w:beforeLines="60" w:before="144" w:after="0" w:line="240" w:lineRule="auto"/>
        <w:ind w:firstLine="567"/>
        <w:jc w:val="both"/>
        <w:rPr>
          <w:rFonts w:ascii="Times New Roman" w:hAnsi="Times New Roman" w:cs="Times New Roman"/>
          <w:sz w:val="24"/>
          <w:szCs w:val="24"/>
          <w:lang w:val="en-US"/>
        </w:rPr>
      </w:pPr>
    </w:p>
    <w:p w14:paraId="205412B6" w14:textId="4292D3FB" w:rsidR="00767CFD" w:rsidRPr="006020DF" w:rsidRDefault="00767CFD" w:rsidP="00AF42AA">
      <w:pPr>
        <w:spacing w:beforeLines="60" w:before="144" w:after="0" w:line="240" w:lineRule="auto"/>
        <w:ind w:firstLine="567"/>
        <w:jc w:val="both"/>
        <w:rPr>
          <w:rFonts w:ascii="Times New Roman" w:hAnsi="Times New Roman" w:cs="Times New Roman"/>
          <w:sz w:val="24"/>
          <w:szCs w:val="24"/>
          <w:lang w:val="en-US"/>
        </w:rPr>
      </w:pPr>
    </w:p>
    <w:sectPr w:rsidR="00767CFD" w:rsidRPr="006020DF" w:rsidSect="00870D48">
      <w:pgSz w:w="11900"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12A819" w14:textId="77777777" w:rsidR="008349FD" w:rsidRDefault="008349FD" w:rsidP="00D21419">
      <w:pPr>
        <w:spacing w:after="0" w:line="240" w:lineRule="auto"/>
      </w:pPr>
      <w:r>
        <w:separator/>
      </w:r>
    </w:p>
  </w:endnote>
  <w:endnote w:type="continuationSeparator" w:id="0">
    <w:p w14:paraId="666104CD" w14:textId="77777777" w:rsidR="008349FD" w:rsidRDefault="008349FD" w:rsidP="00D21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8E0FE7" w14:textId="77777777" w:rsidR="008349FD" w:rsidRDefault="008349FD" w:rsidP="00D21419">
      <w:pPr>
        <w:spacing w:after="0" w:line="240" w:lineRule="auto"/>
      </w:pPr>
      <w:r>
        <w:separator/>
      </w:r>
    </w:p>
  </w:footnote>
  <w:footnote w:type="continuationSeparator" w:id="0">
    <w:p w14:paraId="11676068" w14:textId="77777777" w:rsidR="008349FD" w:rsidRDefault="008349FD" w:rsidP="00D214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8E0FF8"/>
    <w:multiLevelType w:val="multilevel"/>
    <w:tmpl w:val="C1708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6128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8"/>
  <w:proofState w:spelling="clean" w:grammar="clean"/>
  <w:defaultTabStop w:val="709"/>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A53"/>
    <w:rsid w:val="00011C4A"/>
    <w:rsid w:val="00020413"/>
    <w:rsid w:val="00021438"/>
    <w:rsid w:val="0005292C"/>
    <w:rsid w:val="00060631"/>
    <w:rsid w:val="00062E63"/>
    <w:rsid w:val="0007183E"/>
    <w:rsid w:val="00084CFE"/>
    <w:rsid w:val="000917B2"/>
    <w:rsid w:val="000917D6"/>
    <w:rsid w:val="00094AE4"/>
    <w:rsid w:val="000B29E9"/>
    <w:rsid w:val="000C4DE5"/>
    <w:rsid w:val="000C507C"/>
    <w:rsid w:val="000E077E"/>
    <w:rsid w:val="000E0CA9"/>
    <w:rsid w:val="000F2E64"/>
    <w:rsid w:val="000F4223"/>
    <w:rsid w:val="001000CA"/>
    <w:rsid w:val="00101F1B"/>
    <w:rsid w:val="00105446"/>
    <w:rsid w:val="001065EC"/>
    <w:rsid w:val="00116D9C"/>
    <w:rsid w:val="00120E5C"/>
    <w:rsid w:val="00132364"/>
    <w:rsid w:val="0017565C"/>
    <w:rsid w:val="00181235"/>
    <w:rsid w:val="001844D5"/>
    <w:rsid w:val="001A293B"/>
    <w:rsid w:val="001A69A6"/>
    <w:rsid w:val="001B21F1"/>
    <w:rsid w:val="001D1731"/>
    <w:rsid w:val="001D3F29"/>
    <w:rsid w:val="001F141F"/>
    <w:rsid w:val="001F4BF3"/>
    <w:rsid w:val="00210ACA"/>
    <w:rsid w:val="00221F7D"/>
    <w:rsid w:val="00226548"/>
    <w:rsid w:val="00244ABD"/>
    <w:rsid w:val="00244E4C"/>
    <w:rsid w:val="002519B0"/>
    <w:rsid w:val="00283ADE"/>
    <w:rsid w:val="00285B62"/>
    <w:rsid w:val="00295244"/>
    <w:rsid w:val="002B2075"/>
    <w:rsid w:val="002B216A"/>
    <w:rsid w:val="002B571A"/>
    <w:rsid w:val="002C2A93"/>
    <w:rsid w:val="002C4502"/>
    <w:rsid w:val="002C4E64"/>
    <w:rsid w:val="002D34D4"/>
    <w:rsid w:val="002D7E77"/>
    <w:rsid w:val="002E1411"/>
    <w:rsid w:val="002E297F"/>
    <w:rsid w:val="002F12A2"/>
    <w:rsid w:val="00300BE4"/>
    <w:rsid w:val="00312ECA"/>
    <w:rsid w:val="00313101"/>
    <w:rsid w:val="00322C07"/>
    <w:rsid w:val="00335947"/>
    <w:rsid w:val="00336F96"/>
    <w:rsid w:val="00337192"/>
    <w:rsid w:val="00343529"/>
    <w:rsid w:val="00343DB0"/>
    <w:rsid w:val="003442A0"/>
    <w:rsid w:val="00352848"/>
    <w:rsid w:val="00352E5E"/>
    <w:rsid w:val="00356214"/>
    <w:rsid w:val="0036358D"/>
    <w:rsid w:val="003635F7"/>
    <w:rsid w:val="00365186"/>
    <w:rsid w:val="00367AAB"/>
    <w:rsid w:val="0037430F"/>
    <w:rsid w:val="0037494F"/>
    <w:rsid w:val="00376E94"/>
    <w:rsid w:val="00380BD0"/>
    <w:rsid w:val="00385FA6"/>
    <w:rsid w:val="003A3B5E"/>
    <w:rsid w:val="003A4402"/>
    <w:rsid w:val="003A5B40"/>
    <w:rsid w:val="003A68AE"/>
    <w:rsid w:val="003B3646"/>
    <w:rsid w:val="003D111C"/>
    <w:rsid w:val="003D2573"/>
    <w:rsid w:val="003E44F6"/>
    <w:rsid w:val="003F315C"/>
    <w:rsid w:val="003F6958"/>
    <w:rsid w:val="004014C9"/>
    <w:rsid w:val="00401D43"/>
    <w:rsid w:val="004040C0"/>
    <w:rsid w:val="00413135"/>
    <w:rsid w:val="004132F6"/>
    <w:rsid w:val="004158F7"/>
    <w:rsid w:val="00420A9B"/>
    <w:rsid w:val="004277B7"/>
    <w:rsid w:val="004719D4"/>
    <w:rsid w:val="004924AF"/>
    <w:rsid w:val="00493D29"/>
    <w:rsid w:val="00497070"/>
    <w:rsid w:val="004A2CCC"/>
    <w:rsid w:val="004B63BD"/>
    <w:rsid w:val="004C66AB"/>
    <w:rsid w:val="004F2730"/>
    <w:rsid w:val="004F74F8"/>
    <w:rsid w:val="005141A5"/>
    <w:rsid w:val="00533952"/>
    <w:rsid w:val="0053709A"/>
    <w:rsid w:val="005522CF"/>
    <w:rsid w:val="005843F3"/>
    <w:rsid w:val="00585580"/>
    <w:rsid w:val="005A42FB"/>
    <w:rsid w:val="005C7040"/>
    <w:rsid w:val="005C709D"/>
    <w:rsid w:val="005F4BD5"/>
    <w:rsid w:val="005F6DC0"/>
    <w:rsid w:val="006020DF"/>
    <w:rsid w:val="0060216C"/>
    <w:rsid w:val="006052C9"/>
    <w:rsid w:val="00612AAA"/>
    <w:rsid w:val="0061323E"/>
    <w:rsid w:val="006424FA"/>
    <w:rsid w:val="00643CB6"/>
    <w:rsid w:val="00652D16"/>
    <w:rsid w:val="00664F76"/>
    <w:rsid w:val="006673AF"/>
    <w:rsid w:val="00674A57"/>
    <w:rsid w:val="006864FB"/>
    <w:rsid w:val="00687AF6"/>
    <w:rsid w:val="006903F5"/>
    <w:rsid w:val="0069710A"/>
    <w:rsid w:val="006A3BF3"/>
    <w:rsid w:val="006A6E6D"/>
    <w:rsid w:val="006B6C3B"/>
    <w:rsid w:val="006B789D"/>
    <w:rsid w:val="006C3B12"/>
    <w:rsid w:val="006D7459"/>
    <w:rsid w:val="006E0052"/>
    <w:rsid w:val="006E1D4B"/>
    <w:rsid w:val="006E385F"/>
    <w:rsid w:val="006E641F"/>
    <w:rsid w:val="006F47E4"/>
    <w:rsid w:val="00700AFD"/>
    <w:rsid w:val="00701D71"/>
    <w:rsid w:val="00704A92"/>
    <w:rsid w:val="00705126"/>
    <w:rsid w:val="00715521"/>
    <w:rsid w:val="00715891"/>
    <w:rsid w:val="007214DE"/>
    <w:rsid w:val="0072630F"/>
    <w:rsid w:val="00732489"/>
    <w:rsid w:val="00735740"/>
    <w:rsid w:val="00743771"/>
    <w:rsid w:val="00743FA2"/>
    <w:rsid w:val="0074444A"/>
    <w:rsid w:val="00744D97"/>
    <w:rsid w:val="00750023"/>
    <w:rsid w:val="007502D3"/>
    <w:rsid w:val="007576BC"/>
    <w:rsid w:val="00765C4B"/>
    <w:rsid w:val="00767CFD"/>
    <w:rsid w:val="00786F56"/>
    <w:rsid w:val="00787198"/>
    <w:rsid w:val="00793D55"/>
    <w:rsid w:val="00794C10"/>
    <w:rsid w:val="007A2B94"/>
    <w:rsid w:val="007A3F15"/>
    <w:rsid w:val="007B0D54"/>
    <w:rsid w:val="007C0BCE"/>
    <w:rsid w:val="007C681E"/>
    <w:rsid w:val="007C7A65"/>
    <w:rsid w:val="007D2A89"/>
    <w:rsid w:val="007F6099"/>
    <w:rsid w:val="008040E0"/>
    <w:rsid w:val="0080443C"/>
    <w:rsid w:val="008118FF"/>
    <w:rsid w:val="00814224"/>
    <w:rsid w:val="00817B2F"/>
    <w:rsid w:val="00826753"/>
    <w:rsid w:val="008349FD"/>
    <w:rsid w:val="00860FF2"/>
    <w:rsid w:val="00870D48"/>
    <w:rsid w:val="00873BD6"/>
    <w:rsid w:val="008754EB"/>
    <w:rsid w:val="00875A7D"/>
    <w:rsid w:val="008853CB"/>
    <w:rsid w:val="00891701"/>
    <w:rsid w:val="008A2C4B"/>
    <w:rsid w:val="008A581C"/>
    <w:rsid w:val="008B5BF7"/>
    <w:rsid w:val="008C2FE9"/>
    <w:rsid w:val="008C6157"/>
    <w:rsid w:val="008C7AC3"/>
    <w:rsid w:val="008D0FD7"/>
    <w:rsid w:val="008D471E"/>
    <w:rsid w:val="008D513B"/>
    <w:rsid w:val="008E55DA"/>
    <w:rsid w:val="008E7FC1"/>
    <w:rsid w:val="008F751F"/>
    <w:rsid w:val="00900D67"/>
    <w:rsid w:val="009021A7"/>
    <w:rsid w:val="009123D4"/>
    <w:rsid w:val="0092235A"/>
    <w:rsid w:val="009310BB"/>
    <w:rsid w:val="009325EA"/>
    <w:rsid w:val="00951EC3"/>
    <w:rsid w:val="00952874"/>
    <w:rsid w:val="00960696"/>
    <w:rsid w:val="009723DA"/>
    <w:rsid w:val="009B6629"/>
    <w:rsid w:val="009D1191"/>
    <w:rsid w:val="009D5028"/>
    <w:rsid w:val="009D52D3"/>
    <w:rsid w:val="009D6D7A"/>
    <w:rsid w:val="009D7D81"/>
    <w:rsid w:val="009E59CC"/>
    <w:rsid w:val="00A14C0F"/>
    <w:rsid w:val="00A21135"/>
    <w:rsid w:val="00A2290D"/>
    <w:rsid w:val="00A265F1"/>
    <w:rsid w:val="00A310FC"/>
    <w:rsid w:val="00A32439"/>
    <w:rsid w:val="00A32CDD"/>
    <w:rsid w:val="00A54397"/>
    <w:rsid w:val="00A549B9"/>
    <w:rsid w:val="00A562F7"/>
    <w:rsid w:val="00A57A7A"/>
    <w:rsid w:val="00A67F04"/>
    <w:rsid w:val="00AA117B"/>
    <w:rsid w:val="00AA76B3"/>
    <w:rsid w:val="00AB7BC1"/>
    <w:rsid w:val="00AD3FA5"/>
    <w:rsid w:val="00AF42AA"/>
    <w:rsid w:val="00B06FBE"/>
    <w:rsid w:val="00B23561"/>
    <w:rsid w:val="00B249C1"/>
    <w:rsid w:val="00B258DC"/>
    <w:rsid w:val="00B25C8B"/>
    <w:rsid w:val="00B354E4"/>
    <w:rsid w:val="00B81ED2"/>
    <w:rsid w:val="00B83B42"/>
    <w:rsid w:val="00BA2B8C"/>
    <w:rsid w:val="00BA6811"/>
    <w:rsid w:val="00BA6FA7"/>
    <w:rsid w:val="00BC004E"/>
    <w:rsid w:val="00BC0303"/>
    <w:rsid w:val="00BC30D5"/>
    <w:rsid w:val="00BD0645"/>
    <w:rsid w:val="00BD5C4F"/>
    <w:rsid w:val="00BF7C0F"/>
    <w:rsid w:val="00C02A6B"/>
    <w:rsid w:val="00C07A53"/>
    <w:rsid w:val="00C15471"/>
    <w:rsid w:val="00C16934"/>
    <w:rsid w:val="00C24D2A"/>
    <w:rsid w:val="00C307AD"/>
    <w:rsid w:val="00C33619"/>
    <w:rsid w:val="00C360F4"/>
    <w:rsid w:val="00C37252"/>
    <w:rsid w:val="00C555E6"/>
    <w:rsid w:val="00C618CC"/>
    <w:rsid w:val="00C7530B"/>
    <w:rsid w:val="00C85BE6"/>
    <w:rsid w:val="00C914A7"/>
    <w:rsid w:val="00CB5E8B"/>
    <w:rsid w:val="00CC0063"/>
    <w:rsid w:val="00CC718D"/>
    <w:rsid w:val="00CD258E"/>
    <w:rsid w:val="00CE7C6B"/>
    <w:rsid w:val="00CF3423"/>
    <w:rsid w:val="00D00D31"/>
    <w:rsid w:val="00D0501D"/>
    <w:rsid w:val="00D06EF2"/>
    <w:rsid w:val="00D2011A"/>
    <w:rsid w:val="00D21419"/>
    <w:rsid w:val="00D35C84"/>
    <w:rsid w:val="00D44F8A"/>
    <w:rsid w:val="00D52CAD"/>
    <w:rsid w:val="00D728AD"/>
    <w:rsid w:val="00D72ABB"/>
    <w:rsid w:val="00D75CEC"/>
    <w:rsid w:val="00D82AA7"/>
    <w:rsid w:val="00DA5E6A"/>
    <w:rsid w:val="00DC0192"/>
    <w:rsid w:val="00DC07C4"/>
    <w:rsid w:val="00DC4028"/>
    <w:rsid w:val="00DC593E"/>
    <w:rsid w:val="00DC5EC2"/>
    <w:rsid w:val="00DE5847"/>
    <w:rsid w:val="00DF425F"/>
    <w:rsid w:val="00E00433"/>
    <w:rsid w:val="00E052D8"/>
    <w:rsid w:val="00E20A9D"/>
    <w:rsid w:val="00E24DD9"/>
    <w:rsid w:val="00E3774F"/>
    <w:rsid w:val="00E42BE2"/>
    <w:rsid w:val="00E43C3C"/>
    <w:rsid w:val="00E53785"/>
    <w:rsid w:val="00E63D40"/>
    <w:rsid w:val="00E65611"/>
    <w:rsid w:val="00E9147B"/>
    <w:rsid w:val="00E918B9"/>
    <w:rsid w:val="00EA150A"/>
    <w:rsid w:val="00EA2FE6"/>
    <w:rsid w:val="00EA5A8C"/>
    <w:rsid w:val="00ED207E"/>
    <w:rsid w:val="00EF09BD"/>
    <w:rsid w:val="00EF33D4"/>
    <w:rsid w:val="00F01CA2"/>
    <w:rsid w:val="00F03FCC"/>
    <w:rsid w:val="00F07ADC"/>
    <w:rsid w:val="00F11748"/>
    <w:rsid w:val="00F13A32"/>
    <w:rsid w:val="00F1687D"/>
    <w:rsid w:val="00F16BF3"/>
    <w:rsid w:val="00F42BCD"/>
    <w:rsid w:val="00F4468B"/>
    <w:rsid w:val="00F446EE"/>
    <w:rsid w:val="00F448A0"/>
    <w:rsid w:val="00F62908"/>
    <w:rsid w:val="00F63240"/>
    <w:rsid w:val="00F658DE"/>
    <w:rsid w:val="00F67760"/>
    <w:rsid w:val="00F677D2"/>
    <w:rsid w:val="00F77E55"/>
    <w:rsid w:val="00F81338"/>
    <w:rsid w:val="00F9036B"/>
    <w:rsid w:val="00FA38E1"/>
    <w:rsid w:val="00FA3C0C"/>
    <w:rsid w:val="00FA3C39"/>
    <w:rsid w:val="00FA5954"/>
    <w:rsid w:val="00FA7BF0"/>
    <w:rsid w:val="00FB244E"/>
    <w:rsid w:val="00FB6E98"/>
    <w:rsid w:val="00FE58CB"/>
    <w:rsid w:val="00FF5AA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52CD2"/>
  <w15:docId w15:val="{35C58BA2-E6BF-4EBC-B4A5-8943A718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214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1419"/>
    <w:rPr>
      <w:sz w:val="20"/>
      <w:szCs w:val="20"/>
    </w:rPr>
  </w:style>
  <w:style w:type="character" w:styleId="FootnoteReference">
    <w:name w:val="footnote reference"/>
    <w:basedOn w:val="DefaultParagraphFont"/>
    <w:uiPriority w:val="99"/>
    <w:semiHidden/>
    <w:unhideWhenUsed/>
    <w:rsid w:val="00D21419"/>
    <w:rPr>
      <w:vertAlign w:val="superscript"/>
    </w:rPr>
  </w:style>
  <w:style w:type="character" w:styleId="Hyperlink">
    <w:name w:val="Hyperlink"/>
    <w:basedOn w:val="DefaultParagraphFont"/>
    <w:uiPriority w:val="99"/>
    <w:unhideWhenUsed/>
    <w:rsid w:val="004C66AB"/>
    <w:rPr>
      <w:color w:val="0563C1" w:themeColor="hyperlink"/>
      <w:u w:val="single"/>
    </w:rPr>
  </w:style>
  <w:style w:type="character" w:styleId="FollowedHyperlink">
    <w:name w:val="FollowedHyperlink"/>
    <w:basedOn w:val="DefaultParagraphFont"/>
    <w:uiPriority w:val="99"/>
    <w:semiHidden/>
    <w:unhideWhenUsed/>
    <w:rsid w:val="004C66AB"/>
    <w:rPr>
      <w:color w:val="954F72" w:themeColor="followedHyperlink"/>
      <w:u w:val="single"/>
    </w:rPr>
  </w:style>
  <w:style w:type="paragraph" w:styleId="BalloonText">
    <w:name w:val="Balloon Text"/>
    <w:basedOn w:val="Normal"/>
    <w:link w:val="BalloonTextChar"/>
    <w:uiPriority w:val="99"/>
    <w:semiHidden/>
    <w:unhideWhenUsed/>
    <w:rsid w:val="00BA6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811"/>
    <w:rPr>
      <w:rFonts w:ascii="Tahoma" w:hAnsi="Tahoma" w:cs="Tahoma"/>
      <w:sz w:val="16"/>
      <w:szCs w:val="16"/>
    </w:rPr>
  </w:style>
  <w:style w:type="paragraph" w:styleId="NormalWeb">
    <w:name w:val="Normal (Web)"/>
    <w:basedOn w:val="Normal"/>
    <w:uiPriority w:val="99"/>
    <w:semiHidden/>
    <w:unhideWhenUsed/>
    <w:rsid w:val="002D7E77"/>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2D7E77"/>
    <w:rPr>
      <w:color w:val="605E5C"/>
      <w:shd w:val="clear" w:color="auto" w:fill="E1DFDD"/>
    </w:rPr>
  </w:style>
  <w:style w:type="paragraph" w:styleId="Bibliography">
    <w:name w:val="Bibliography"/>
    <w:basedOn w:val="Normal"/>
    <w:next w:val="Normal"/>
    <w:uiPriority w:val="37"/>
    <w:semiHidden/>
    <w:unhideWhenUsed/>
    <w:rsid w:val="00FB6E98"/>
  </w:style>
  <w:style w:type="character" w:styleId="Strong">
    <w:name w:val="Strong"/>
    <w:basedOn w:val="DefaultParagraphFont"/>
    <w:uiPriority w:val="22"/>
    <w:qFormat/>
    <w:rsid w:val="00D050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57576">
      <w:bodyDiv w:val="1"/>
      <w:marLeft w:val="0"/>
      <w:marRight w:val="0"/>
      <w:marTop w:val="0"/>
      <w:marBottom w:val="0"/>
      <w:divBdr>
        <w:top w:val="none" w:sz="0" w:space="0" w:color="auto"/>
        <w:left w:val="none" w:sz="0" w:space="0" w:color="auto"/>
        <w:bottom w:val="none" w:sz="0" w:space="0" w:color="auto"/>
        <w:right w:val="none" w:sz="0" w:space="0" w:color="auto"/>
      </w:divBdr>
    </w:div>
    <w:div w:id="14573788">
      <w:bodyDiv w:val="1"/>
      <w:marLeft w:val="0"/>
      <w:marRight w:val="0"/>
      <w:marTop w:val="0"/>
      <w:marBottom w:val="0"/>
      <w:divBdr>
        <w:top w:val="none" w:sz="0" w:space="0" w:color="auto"/>
        <w:left w:val="none" w:sz="0" w:space="0" w:color="auto"/>
        <w:bottom w:val="none" w:sz="0" w:space="0" w:color="auto"/>
        <w:right w:val="none" w:sz="0" w:space="0" w:color="auto"/>
      </w:divBdr>
    </w:div>
    <w:div w:id="76637994">
      <w:bodyDiv w:val="1"/>
      <w:marLeft w:val="0"/>
      <w:marRight w:val="0"/>
      <w:marTop w:val="0"/>
      <w:marBottom w:val="0"/>
      <w:divBdr>
        <w:top w:val="none" w:sz="0" w:space="0" w:color="auto"/>
        <w:left w:val="none" w:sz="0" w:space="0" w:color="auto"/>
        <w:bottom w:val="none" w:sz="0" w:space="0" w:color="auto"/>
        <w:right w:val="none" w:sz="0" w:space="0" w:color="auto"/>
      </w:divBdr>
    </w:div>
    <w:div w:id="115999018">
      <w:bodyDiv w:val="1"/>
      <w:marLeft w:val="0"/>
      <w:marRight w:val="0"/>
      <w:marTop w:val="0"/>
      <w:marBottom w:val="0"/>
      <w:divBdr>
        <w:top w:val="none" w:sz="0" w:space="0" w:color="auto"/>
        <w:left w:val="none" w:sz="0" w:space="0" w:color="auto"/>
        <w:bottom w:val="none" w:sz="0" w:space="0" w:color="auto"/>
        <w:right w:val="none" w:sz="0" w:space="0" w:color="auto"/>
      </w:divBdr>
    </w:div>
    <w:div w:id="147333169">
      <w:bodyDiv w:val="1"/>
      <w:marLeft w:val="0"/>
      <w:marRight w:val="0"/>
      <w:marTop w:val="0"/>
      <w:marBottom w:val="0"/>
      <w:divBdr>
        <w:top w:val="none" w:sz="0" w:space="0" w:color="auto"/>
        <w:left w:val="none" w:sz="0" w:space="0" w:color="auto"/>
        <w:bottom w:val="none" w:sz="0" w:space="0" w:color="auto"/>
        <w:right w:val="none" w:sz="0" w:space="0" w:color="auto"/>
      </w:divBdr>
    </w:div>
    <w:div w:id="164252829">
      <w:bodyDiv w:val="1"/>
      <w:marLeft w:val="0"/>
      <w:marRight w:val="0"/>
      <w:marTop w:val="0"/>
      <w:marBottom w:val="0"/>
      <w:divBdr>
        <w:top w:val="none" w:sz="0" w:space="0" w:color="auto"/>
        <w:left w:val="none" w:sz="0" w:space="0" w:color="auto"/>
        <w:bottom w:val="none" w:sz="0" w:space="0" w:color="auto"/>
        <w:right w:val="none" w:sz="0" w:space="0" w:color="auto"/>
      </w:divBdr>
    </w:div>
    <w:div w:id="251670519">
      <w:bodyDiv w:val="1"/>
      <w:marLeft w:val="0"/>
      <w:marRight w:val="0"/>
      <w:marTop w:val="0"/>
      <w:marBottom w:val="0"/>
      <w:divBdr>
        <w:top w:val="none" w:sz="0" w:space="0" w:color="auto"/>
        <w:left w:val="none" w:sz="0" w:space="0" w:color="auto"/>
        <w:bottom w:val="none" w:sz="0" w:space="0" w:color="auto"/>
        <w:right w:val="none" w:sz="0" w:space="0" w:color="auto"/>
      </w:divBdr>
    </w:div>
    <w:div w:id="316686511">
      <w:bodyDiv w:val="1"/>
      <w:marLeft w:val="0"/>
      <w:marRight w:val="0"/>
      <w:marTop w:val="0"/>
      <w:marBottom w:val="0"/>
      <w:divBdr>
        <w:top w:val="none" w:sz="0" w:space="0" w:color="auto"/>
        <w:left w:val="none" w:sz="0" w:space="0" w:color="auto"/>
        <w:bottom w:val="none" w:sz="0" w:space="0" w:color="auto"/>
        <w:right w:val="none" w:sz="0" w:space="0" w:color="auto"/>
      </w:divBdr>
    </w:div>
    <w:div w:id="329913251">
      <w:bodyDiv w:val="1"/>
      <w:marLeft w:val="0"/>
      <w:marRight w:val="0"/>
      <w:marTop w:val="0"/>
      <w:marBottom w:val="0"/>
      <w:divBdr>
        <w:top w:val="none" w:sz="0" w:space="0" w:color="auto"/>
        <w:left w:val="none" w:sz="0" w:space="0" w:color="auto"/>
        <w:bottom w:val="none" w:sz="0" w:space="0" w:color="auto"/>
        <w:right w:val="none" w:sz="0" w:space="0" w:color="auto"/>
      </w:divBdr>
    </w:div>
    <w:div w:id="332995925">
      <w:bodyDiv w:val="1"/>
      <w:marLeft w:val="0"/>
      <w:marRight w:val="0"/>
      <w:marTop w:val="0"/>
      <w:marBottom w:val="0"/>
      <w:divBdr>
        <w:top w:val="none" w:sz="0" w:space="0" w:color="auto"/>
        <w:left w:val="none" w:sz="0" w:space="0" w:color="auto"/>
        <w:bottom w:val="none" w:sz="0" w:space="0" w:color="auto"/>
        <w:right w:val="none" w:sz="0" w:space="0" w:color="auto"/>
      </w:divBdr>
    </w:div>
    <w:div w:id="411124931">
      <w:bodyDiv w:val="1"/>
      <w:marLeft w:val="0"/>
      <w:marRight w:val="0"/>
      <w:marTop w:val="0"/>
      <w:marBottom w:val="0"/>
      <w:divBdr>
        <w:top w:val="none" w:sz="0" w:space="0" w:color="auto"/>
        <w:left w:val="none" w:sz="0" w:space="0" w:color="auto"/>
        <w:bottom w:val="none" w:sz="0" w:space="0" w:color="auto"/>
        <w:right w:val="none" w:sz="0" w:space="0" w:color="auto"/>
      </w:divBdr>
    </w:div>
    <w:div w:id="415249913">
      <w:bodyDiv w:val="1"/>
      <w:marLeft w:val="0"/>
      <w:marRight w:val="0"/>
      <w:marTop w:val="0"/>
      <w:marBottom w:val="0"/>
      <w:divBdr>
        <w:top w:val="none" w:sz="0" w:space="0" w:color="auto"/>
        <w:left w:val="none" w:sz="0" w:space="0" w:color="auto"/>
        <w:bottom w:val="none" w:sz="0" w:space="0" w:color="auto"/>
        <w:right w:val="none" w:sz="0" w:space="0" w:color="auto"/>
      </w:divBdr>
    </w:div>
    <w:div w:id="433596069">
      <w:bodyDiv w:val="1"/>
      <w:marLeft w:val="0"/>
      <w:marRight w:val="0"/>
      <w:marTop w:val="0"/>
      <w:marBottom w:val="0"/>
      <w:divBdr>
        <w:top w:val="none" w:sz="0" w:space="0" w:color="auto"/>
        <w:left w:val="none" w:sz="0" w:space="0" w:color="auto"/>
        <w:bottom w:val="none" w:sz="0" w:space="0" w:color="auto"/>
        <w:right w:val="none" w:sz="0" w:space="0" w:color="auto"/>
      </w:divBdr>
      <w:divsChild>
        <w:div w:id="1430736008">
          <w:marLeft w:val="0"/>
          <w:marRight w:val="0"/>
          <w:marTop w:val="120"/>
          <w:marBottom w:val="120"/>
          <w:divBdr>
            <w:top w:val="none" w:sz="0" w:space="0" w:color="auto"/>
            <w:left w:val="none" w:sz="0" w:space="0" w:color="auto"/>
            <w:bottom w:val="none" w:sz="0" w:space="0" w:color="auto"/>
            <w:right w:val="none" w:sz="0" w:space="0" w:color="auto"/>
          </w:divBdr>
        </w:div>
      </w:divsChild>
    </w:div>
    <w:div w:id="440685158">
      <w:bodyDiv w:val="1"/>
      <w:marLeft w:val="0"/>
      <w:marRight w:val="0"/>
      <w:marTop w:val="0"/>
      <w:marBottom w:val="0"/>
      <w:divBdr>
        <w:top w:val="none" w:sz="0" w:space="0" w:color="auto"/>
        <w:left w:val="none" w:sz="0" w:space="0" w:color="auto"/>
        <w:bottom w:val="none" w:sz="0" w:space="0" w:color="auto"/>
        <w:right w:val="none" w:sz="0" w:space="0" w:color="auto"/>
      </w:divBdr>
    </w:div>
    <w:div w:id="474955057">
      <w:bodyDiv w:val="1"/>
      <w:marLeft w:val="0"/>
      <w:marRight w:val="0"/>
      <w:marTop w:val="0"/>
      <w:marBottom w:val="0"/>
      <w:divBdr>
        <w:top w:val="none" w:sz="0" w:space="0" w:color="auto"/>
        <w:left w:val="none" w:sz="0" w:space="0" w:color="auto"/>
        <w:bottom w:val="none" w:sz="0" w:space="0" w:color="auto"/>
        <w:right w:val="none" w:sz="0" w:space="0" w:color="auto"/>
      </w:divBdr>
    </w:div>
    <w:div w:id="551112515">
      <w:bodyDiv w:val="1"/>
      <w:marLeft w:val="0"/>
      <w:marRight w:val="0"/>
      <w:marTop w:val="0"/>
      <w:marBottom w:val="0"/>
      <w:divBdr>
        <w:top w:val="none" w:sz="0" w:space="0" w:color="auto"/>
        <w:left w:val="none" w:sz="0" w:space="0" w:color="auto"/>
        <w:bottom w:val="none" w:sz="0" w:space="0" w:color="auto"/>
        <w:right w:val="none" w:sz="0" w:space="0" w:color="auto"/>
      </w:divBdr>
    </w:div>
    <w:div w:id="585194186">
      <w:bodyDiv w:val="1"/>
      <w:marLeft w:val="0"/>
      <w:marRight w:val="0"/>
      <w:marTop w:val="0"/>
      <w:marBottom w:val="0"/>
      <w:divBdr>
        <w:top w:val="none" w:sz="0" w:space="0" w:color="auto"/>
        <w:left w:val="none" w:sz="0" w:space="0" w:color="auto"/>
        <w:bottom w:val="none" w:sz="0" w:space="0" w:color="auto"/>
        <w:right w:val="none" w:sz="0" w:space="0" w:color="auto"/>
      </w:divBdr>
    </w:div>
    <w:div w:id="648241834">
      <w:bodyDiv w:val="1"/>
      <w:marLeft w:val="0"/>
      <w:marRight w:val="0"/>
      <w:marTop w:val="0"/>
      <w:marBottom w:val="0"/>
      <w:divBdr>
        <w:top w:val="none" w:sz="0" w:space="0" w:color="auto"/>
        <w:left w:val="none" w:sz="0" w:space="0" w:color="auto"/>
        <w:bottom w:val="none" w:sz="0" w:space="0" w:color="auto"/>
        <w:right w:val="none" w:sz="0" w:space="0" w:color="auto"/>
      </w:divBdr>
    </w:div>
    <w:div w:id="658190571">
      <w:bodyDiv w:val="1"/>
      <w:marLeft w:val="0"/>
      <w:marRight w:val="0"/>
      <w:marTop w:val="0"/>
      <w:marBottom w:val="0"/>
      <w:divBdr>
        <w:top w:val="none" w:sz="0" w:space="0" w:color="auto"/>
        <w:left w:val="none" w:sz="0" w:space="0" w:color="auto"/>
        <w:bottom w:val="none" w:sz="0" w:space="0" w:color="auto"/>
        <w:right w:val="none" w:sz="0" w:space="0" w:color="auto"/>
      </w:divBdr>
    </w:div>
    <w:div w:id="676540758">
      <w:bodyDiv w:val="1"/>
      <w:marLeft w:val="0"/>
      <w:marRight w:val="0"/>
      <w:marTop w:val="0"/>
      <w:marBottom w:val="0"/>
      <w:divBdr>
        <w:top w:val="none" w:sz="0" w:space="0" w:color="auto"/>
        <w:left w:val="none" w:sz="0" w:space="0" w:color="auto"/>
        <w:bottom w:val="none" w:sz="0" w:space="0" w:color="auto"/>
        <w:right w:val="none" w:sz="0" w:space="0" w:color="auto"/>
      </w:divBdr>
    </w:div>
    <w:div w:id="735131914">
      <w:bodyDiv w:val="1"/>
      <w:marLeft w:val="0"/>
      <w:marRight w:val="0"/>
      <w:marTop w:val="0"/>
      <w:marBottom w:val="0"/>
      <w:divBdr>
        <w:top w:val="none" w:sz="0" w:space="0" w:color="auto"/>
        <w:left w:val="none" w:sz="0" w:space="0" w:color="auto"/>
        <w:bottom w:val="none" w:sz="0" w:space="0" w:color="auto"/>
        <w:right w:val="none" w:sz="0" w:space="0" w:color="auto"/>
      </w:divBdr>
    </w:div>
    <w:div w:id="781150804">
      <w:bodyDiv w:val="1"/>
      <w:marLeft w:val="0"/>
      <w:marRight w:val="0"/>
      <w:marTop w:val="0"/>
      <w:marBottom w:val="0"/>
      <w:divBdr>
        <w:top w:val="none" w:sz="0" w:space="0" w:color="auto"/>
        <w:left w:val="none" w:sz="0" w:space="0" w:color="auto"/>
        <w:bottom w:val="none" w:sz="0" w:space="0" w:color="auto"/>
        <w:right w:val="none" w:sz="0" w:space="0" w:color="auto"/>
      </w:divBdr>
    </w:div>
    <w:div w:id="858006792">
      <w:bodyDiv w:val="1"/>
      <w:marLeft w:val="0"/>
      <w:marRight w:val="0"/>
      <w:marTop w:val="0"/>
      <w:marBottom w:val="0"/>
      <w:divBdr>
        <w:top w:val="none" w:sz="0" w:space="0" w:color="auto"/>
        <w:left w:val="none" w:sz="0" w:space="0" w:color="auto"/>
        <w:bottom w:val="none" w:sz="0" w:space="0" w:color="auto"/>
        <w:right w:val="none" w:sz="0" w:space="0" w:color="auto"/>
      </w:divBdr>
    </w:div>
    <w:div w:id="926813970">
      <w:bodyDiv w:val="1"/>
      <w:marLeft w:val="0"/>
      <w:marRight w:val="0"/>
      <w:marTop w:val="0"/>
      <w:marBottom w:val="0"/>
      <w:divBdr>
        <w:top w:val="none" w:sz="0" w:space="0" w:color="auto"/>
        <w:left w:val="none" w:sz="0" w:space="0" w:color="auto"/>
        <w:bottom w:val="none" w:sz="0" w:space="0" w:color="auto"/>
        <w:right w:val="none" w:sz="0" w:space="0" w:color="auto"/>
      </w:divBdr>
    </w:div>
    <w:div w:id="957024985">
      <w:bodyDiv w:val="1"/>
      <w:marLeft w:val="0"/>
      <w:marRight w:val="0"/>
      <w:marTop w:val="0"/>
      <w:marBottom w:val="0"/>
      <w:divBdr>
        <w:top w:val="none" w:sz="0" w:space="0" w:color="auto"/>
        <w:left w:val="none" w:sz="0" w:space="0" w:color="auto"/>
        <w:bottom w:val="none" w:sz="0" w:space="0" w:color="auto"/>
        <w:right w:val="none" w:sz="0" w:space="0" w:color="auto"/>
      </w:divBdr>
    </w:div>
    <w:div w:id="1045642996">
      <w:bodyDiv w:val="1"/>
      <w:marLeft w:val="0"/>
      <w:marRight w:val="0"/>
      <w:marTop w:val="0"/>
      <w:marBottom w:val="0"/>
      <w:divBdr>
        <w:top w:val="none" w:sz="0" w:space="0" w:color="auto"/>
        <w:left w:val="none" w:sz="0" w:space="0" w:color="auto"/>
        <w:bottom w:val="none" w:sz="0" w:space="0" w:color="auto"/>
        <w:right w:val="none" w:sz="0" w:space="0" w:color="auto"/>
      </w:divBdr>
    </w:div>
    <w:div w:id="1071584825">
      <w:bodyDiv w:val="1"/>
      <w:marLeft w:val="0"/>
      <w:marRight w:val="0"/>
      <w:marTop w:val="0"/>
      <w:marBottom w:val="0"/>
      <w:divBdr>
        <w:top w:val="none" w:sz="0" w:space="0" w:color="auto"/>
        <w:left w:val="none" w:sz="0" w:space="0" w:color="auto"/>
        <w:bottom w:val="none" w:sz="0" w:space="0" w:color="auto"/>
        <w:right w:val="none" w:sz="0" w:space="0" w:color="auto"/>
      </w:divBdr>
    </w:div>
    <w:div w:id="1241060496">
      <w:bodyDiv w:val="1"/>
      <w:marLeft w:val="0"/>
      <w:marRight w:val="0"/>
      <w:marTop w:val="0"/>
      <w:marBottom w:val="0"/>
      <w:divBdr>
        <w:top w:val="none" w:sz="0" w:space="0" w:color="auto"/>
        <w:left w:val="none" w:sz="0" w:space="0" w:color="auto"/>
        <w:bottom w:val="none" w:sz="0" w:space="0" w:color="auto"/>
        <w:right w:val="none" w:sz="0" w:space="0" w:color="auto"/>
      </w:divBdr>
    </w:div>
    <w:div w:id="1273395861">
      <w:bodyDiv w:val="1"/>
      <w:marLeft w:val="0"/>
      <w:marRight w:val="0"/>
      <w:marTop w:val="0"/>
      <w:marBottom w:val="0"/>
      <w:divBdr>
        <w:top w:val="none" w:sz="0" w:space="0" w:color="auto"/>
        <w:left w:val="none" w:sz="0" w:space="0" w:color="auto"/>
        <w:bottom w:val="none" w:sz="0" w:space="0" w:color="auto"/>
        <w:right w:val="none" w:sz="0" w:space="0" w:color="auto"/>
      </w:divBdr>
    </w:div>
    <w:div w:id="1345084541">
      <w:bodyDiv w:val="1"/>
      <w:marLeft w:val="0"/>
      <w:marRight w:val="0"/>
      <w:marTop w:val="0"/>
      <w:marBottom w:val="0"/>
      <w:divBdr>
        <w:top w:val="none" w:sz="0" w:space="0" w:color="auto"/>
        <w:left w:val="none" w:sz="0" w:space="0" w:color="auto"/>
        <w:bottom w:val="none" w:sz="0" w:space="0" w:color="auto"/>
        <w:right w:val="none" w:sz="0" w:space="0" w:color="auto"/>
      </w:divBdr>
    </w:div>
    <w:div w:id="1455097474">
      <w:bodyDiv w:val="1"/>
      <w:marLeft w:val="0"/>
      <w:marRight w:val="0"/>
      <w:marTop w:val="0"/>
      <w:marBottom w:val="0"/>
      <w:divBdr>
        <w:top w:val="none" w:sz="0" w:space="0" w:color="auto"/>
        <w:left w:val="none" w:sz="0" w:space="0" w:color="auto"/>
        <w:bottom w:val="none" w:sz="0" w:space="0" w:color="auto"/>
        <w:right w:val="none" w:sz="0" w:space="0" w:color="auto"/>
      </w:divBdr>
    </w:div>
    <w:div w:id="1554803680">
      <w:bodyDiv w:val="1"/>
      <w:marLeft w:val="0"/>
      <w:marRight w:val="0"/>
      <w:marTop w:val="0"/>
      <w:marBottom w:val="0"/>
      <w:divBdr>
        <w:top w:val="none" w:sz="0" w:space="0" w:color="auto"/>
        <w:left w:val="none" w:sz="0" w:space="0" w:color="auto"/>
        <w:bottom w:val="none" w:sz="0" w:space="0" w:color="auto"/>
        <w:right w:val="none" w:sz="0" w:space="0" w:color="auto"/>
      </w:divBdr>
    </w:div>
    <w:div w:id="1604343379">
      <w:bodyDiv w:val="1"/>
      <w:marLeft w:val="0"/>
      <w:marRight w:val="0"/>
      <w:marTop w:val="0"/>
      <w:marBottom w:val="0"/>
      <w:divBdr>
        <w:top w:val="none" w:sz="0" w:space="0" w:color="auto"/>
        <w:left w:val="none" w:sz="0" w:space="0" w:color="auto"/>
        <w:bottom w:val="none" w:sz="0" w:space="0" w:color="auto"/>
        <w:right w:val="none" w:sz="0" w:space="0" w:color="auto"/>
      </w:divBdr>
    </w:div>
    <w:div w:id="1741322007">
      <w:bodyDiv w:val="1"/>
      <w:marLeft w:val="0"/>
      <w:marRight w:val="0"/>
      <w:marTop w:val="0"/>
      <w:marBottom w:val="0"/>
      <w:divBdr>
        <w:top w:val="none" w:sz="0" w:space="0" w:color="auto"/>
        <w:left w:val="none" w:sz="0" w:space="0" w:color="auto"/>
        <w:bottom w:val="none" w:sz="0" w:space="0" w:color="auto"/>
        <w:right w:val="none" w:sz="0" w:space="0" w:color="auto"/>
      </w:divBdr>
    </w:div>
    <w:div w:id="1769236463">
      <w:bodyDiv w:val="1"/>
      <w:marLeft w:val="0"/>
      <w:marRight w:val="0"/>
      <w:marTop w:val="0"/>
      <w:marBottom w:val="0"/>
      <w:divBdr>
        <w:top w:val="none" w:sz="0" w:space="0" w:color="auto"/>
        <w:left w:val="none" w:sz="0" w:space="0" w:color="auto"/>
        <w:bottom w:val="none" w:sz="0" w:space="0" w:color="auto"/>
        <w:right w:val="none" w:sz="0" w:space="0" w:color="auto"/>
      </w:divBdr>
    </w:div>
    <w:div w:id="1828402354">
      <w:bodyDiv w:val="1"/>
      <w:marLeft w:val="0"/>
      <w:marRight w:val="0"/>
      <w:marTop w:val="0"/>
      <w:marBottom w:val="0"/>
      <w:divBdr>
        <w:top w:val="none" w:sz="0" w:space="0" w:color="auto"/>
        <w:left w:val="none" w:sz="0" w:space="0" w:color="auto"/>
        <w:bottom w:val="none" w:sz="0" w:space="0" w:color="auto"/>
        <w:right w:val="none" w:sz="0" w:space="0" w:color="auto"/>
      </w:divBdr>
    </w:div>
    <w:div w:id="1869295215">
      <w:bodyDiv w:val="1"/>
      <w:marLeft w:val="0"/>
      <w:marRight w:val="0"/>
      <w:marTop w:val="0"/>
      <w:marBottom w:val="0"/>
      <w:divBdr>
        <w:top w:val="none" w:sz="0" w:space="0" w:color="auto"/>
        <w:left w:val="none" w:sz="0" w:space="0" w:color="auto"/>
        <w:bottom w:val="none" w:sz="0" w:space="0" w:color="auto"/>
        <w:right w:val="none" w:sz="0" w:space="0" w:color="auto"/>
      </w:divBdr>
    </w:div>
    <w:div w:id="1957902115">
      <w:bodyDiv w:val="1"/>
      <w:marLeft w:val="0"/>
      <w:marRight w:val="0"/>
      <w:marTop w:val="0"/>
      <w:marBottom w:val="0"/>
      <w:divBdr>
        <w:top w:val="none" w:sz="0" w:space="0" w:color="auto"/>
        <w:left w:val="none" w:sz="0" w:space="0" w:color="auto"/>
        <w:bottom w:val="none" w:sz="0" w:space="0" w:color="auto"/>
        <w:right w:val="none" w:sz="0" w:space="0" w:color="auto"/>
      </w:divBdr>
    </w:div>
    <w:div w:id="1957908505">
      <w:bodyDiv w:val="1"/>
      <w:marLeft w:val="0"/>
      <w:marRight w:val="0"/>
      <w:marTop w:val="0"/>
      <w:marBottom w:val="0"/>
      <w:divBdr>
        <w:top w:val="none" w:sz="0" w:space="0" w:color="auto"/>
        <w:left w:val="none" w:sz="0" w:space="0" w:color="auto"/>
        <w:bottom w:val="none" w:sz="0" w:space="0" w:color="auto"/>
        <w:right w:val="none" w:sz="0" w:space="0" w:color="auto"/>
      </w:divBdr>
    </w:div>
    <w:div w:id="1991324359">
      <w:bodyDiv w:val="1"/>
      <w:marLeft w:val="0"/>
      <w:marRight w:val="0"/>
      <w:marTop w:val="0"/>
      <w:marBottom w:val="0"/>
      <w:divBdr>
        <w:top w:val="none" w:sz="0" w:space="0" w:color="auto"/>
        <w:left w:val="none" w:sz="0" w:space="0" w:color="auto"/>
        <w:bottom w:val="none" w:sz="0" w:space="0" w:color="auto"/>
        <w:right w:val="none" w:sz="0" w:space="0" w:color="auto"/>
      </w:divBdr>
    </w:div>
    <w:div w:id="2044672211">
      <w:bodyDiv w:val="1"/>
      <w:marLeft w:val="0"/>
      <w:marRight w:val="0"/>
      <w:marTop w:val="0"/>
      <w:marBottom w:val="0"/>
      <w:divBdr>
        <w:top w:val="none" w:sz="0" w:space="0" w:color="auto"/>
        <w:left w:val="none" w:sz="0" w:space="0" w:color="auto"/>
        <w:bottom w:val="none" w:sz="0" w:space="0" w:color="auto"/>
        <w:right w:val="none" w:sz="0" w:space="0" w:color="auto"/>
      </w:divBdr>
    </w:div>
    <w:div w:id="214017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ople.umass.edu/aizen/pdf/tpb.measurement.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3468B-87C9-4254-A4FB-5FD9A6F2C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13</Pages>
  <Words>6792</Words>
  <Characters>38718</Characters>
  <Application>Microsoft Office Word</Application>
  <DocSecurity>0</DocSecurity>
  <Lines>322</Lines>
  <Paragraphs>90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dc:creator>
  <cp:keywords/>
  <dc:description/>
  <cp:lastModifiedBy>Marina Dabetić</cp:lastModifiedBy>
  <cp:revision>62</cp:revision>
  <cp:lastPrinted>2024-02-08T12:22:00Z</cp:lastPrinted>
  <dcterms:created xsi:type="dcterms:W3CDTF">2025-11-03T09:22:00Z</dcterms:created>
  <dcterms:modified xsi:type="dcterms:W3CDTF">2026-01-24T11:13:00Z</dcterms:modified>
</cp:coreProperties>
</file>