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0D7C13" w14:textId="48C28D57" w:rsidR="001F7941" w:rsidRDefault="001F7941" w:rsidP="001F7941">
      <w:pPr>
        <w:spacing w:after="0" w:line="360" w:lineRule="auto"/>
        <w:ind w:firstLine="567"/>
        <w:jc w:val="center"/>
        <w:rPr>
          <w:rFonts w:ascii="Times New Roman" w:eastAsia="MS Mincho" w:hAnsi="Times New Roman" w:cs="Times New Roman"/>
          <w:sz w:val="24"/>
          <w14:ligatures w14:val="none"/>
        </w:rPr>
      </w:pPr>
      <w:r>
        <w:rPr>
          <w:rFonts w:ascii="Times New Roman" w:eastAsia="MS Mincho" w:hAnsi="Times New Roman" w:cs="Times New Roman"/>
          <w:sz w:val="24"/>
          <w14:ligatures w14:val="none"/>
        </w:rPr>
        <w:t>REFERENCES</w:t>
      </w:r>
    </w:p>
    <w:p w14:paraId="43AED4F4" w14:textId="77777777" w:rsidR="001F7941" w:rsidRDefault="001F7941" w:rsidP="001F7941">
      <w:pPr>
        <w:spacing w:after="0" w:line="360" w:lineRule="auto"/>
        <w:ind w:firstLine="567"/>
        <w:jc w:val="center"/>
        <w:rPr>
          <w:rFonts w:ascii="Times New Roman" w:eastAsia="MS Mincho" w:hAnsi="Times New Roman" w:cs="Times New Roman"/>
          <w:sz w:val="24"/>
          <w14:ligatures w14:val="none"/>
        </w:rPr>
      </w:pPr>
    </w:p>
    <w:p w14:paraId="3C39F4E1" w14:textId="43C4C02E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Agaidarov, T. S., Sartaeva, K. R., Isataeva, B. T., &amp; Serik, G. (2024). Legal analysis of fraud in the real estate sector.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Journal of Actual Problems of Jurisprudence/Habaršy. Zan̦ Seriâsy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109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(1).</w:t>
      </w:r>
    </w:p>
    <w:p w14:paraId="5060F4F4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16743701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Alihodžić, A. (2024). Determinants of the real estate market in the Republic of Serbia: Overview and findings.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Bankarstvo, 53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(1), 38–73. </w:t>
      </w:r>
      <w:hyperlink r:id="rId4" w:tgtFrame="_new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https://doi.org/10.5937/bankarstvo2401038A</w:t>
        </w:r>
      </w:hyperlink>
    </w:p>
    <w:p w14:paraId="0DFB5765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Calibri" w:hAnsi="Times New Roman" w:cs="Arial"/>
          <w:sz w:val="24"/>
        </w:rPr>
      </w:pPr>
    </w:p>
    <w:p w14:paraId="036EDDFC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Barone, R. (2023). Home sweet home: How money laundering pollutes the real estate market: An agent-based model.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Journal of Economic Interaction and Coordination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18, 779–806. </w:t>
      </w:r>
      <w:hyperlink r:id="rId5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https://doi.org/10.1007/s11403-023-00391-y</w:t>
        </w:r>
      </w:hyperlink>
    </w:p>
    <w:p w14:paraId="07A61A62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Calibri" w:hAnsi="Times New Roman" w:cs="Arial"/>
          <w:sz w:val="24"/>
        </w:rPr>
      </w:pPr>
    </w:p>
    <w:p w14:paraId="4F46BE00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Bugarski, T. D., Milašinović, S., &amp; Milošević, G. (2025). Serbian citizens’ perception of corruption in the public sector — Legal and social-economic component.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TEME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48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(4), 799–819. </w:t>
      </w:r>
      <w:hyperlink r:id="rId6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https://doi.org/10.22190/TEME240719046A</w:t>
        </w:r>
      </w:hyperlink>
    </w:p>
    <w:p w14:paraId="0F6D99A1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7F3DB57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Calibri" w:hAnsi="Times New Roman" w:cs="Arial"/>
          <w:sz w:val="24"/>
        </w:rPr>
        <w:t xml:space="preserve">Council of Europe. Committee of Experts on the Evaluation of Anti-Money Laundering Measures and the Financing of Terrorism (MONEYVAL). (2025). </w:t>
      </w:r>
      <w:r w:rsidRPr="00C976C3">
        <w:rPr>
          <w:rFonts w:ascii="Times New Roman" w:eastAsia="Calibri" w:hAnsi="Times New Roman" w:cs="Arial"/>
          <w:i/>
          <w:iCs/>
          <w:sz w:val="24"/>
        </w:rPr>
        <w:t>Anti-money laundering and counter-terrorist financing measures: Serbia (Sixth Round Mutual Evaluation Report)</w:t>
      </w:r>
      <w:r w:rsidRPr="00C976C3">
        <w:rPr>
          <w:rFonts w:ascii="Times New Roman" w:eastAsia="Calibri" w:hAnsi="Times New Roman" w:cs="Arial"/>
          <w:sz w:val="24"/>
        </w:rPr>
        <w:t xml:space="preserve">. Council of Europe. Retrieved 10.02.2026, from </w:t>
      </w:r>
      <w:hyperlink r:id="rId7" w:history="1">
        <w:r w:rsidRPr="00C976C3">
          <w:rPr>
            <w:rFonts w:ascii="Times New Roman" w:eastAsia="Calibri" w:hAnsi="Times New Roman" w:cs="Arial"/>
            <w:color w:val="0563C1"/>
            <w:sz w:val="24"/>
            <w:u w:val="single"/>
          </w:rPr>
          <w:t>https://www.coe.int/en/web/moneyval</w:t>
        </w:r>
      </w:hyperlink>
    </w:p>
    <w:p w14:paraId="1BB5EB1D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Calibri" w:hAnsi="Times New Roman" w:cs="Arial"/>
          <w:sz w:val="24"/>
        </w:rPr>
      </w:pPr>
    </w:p>
    <w:p w14:paraId="1132948A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Deniz, V., Kayalık, M., Kırtıloğlu, O. S., &amp; Polat, Z. A. (2023). The public-private partnership (PPP) in the provision of land registry and cadastre services in Türkiye.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Advanced Land Management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3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(1), 41-53.</w:t>
      </w:r>
    </w:p>
    <w:p w14:paraId="5F830AEE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5C79363E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Georgiadou, M. C., &amp; Ionica, M. L. (2025). ESG Integration in Residential Real Estate: The Case of Constanța, Romania.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Sustainability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17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(17), 7701. </w:t>
      </w:r>
      <w:hyperlink r:id="rId8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https://doi.org/10.3390/su17177701</w:t>
        </w:r>
      </w:hyperlink>
    </w:p>
    <w:p w14:paraId="63ABD197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3122C6A2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Global Initiative Against Transnational Organized Crime. (2025). Global organized crime index 2025. Global Initiative Against Transnational Organized Crime. Retrieved 10.02.2026, from </w:t>
      </w:r>
      <w:hyperlink r:id="rId9" w:history="1">
        <w:r w:rsidRPr="00C976C3">
          <w:rPr>
            <w:rFonts w:ascii="Times New Roman" w:eastAsia="MS Mincho" w:hAnsi="Times New Roman" w:cs="Times New Roman"/>
            <w:color w:val="0563C1"/>
            <w:sz w:val="24"/>
            <w:u w:val="single"/>
            <w14:ligatures w14:val="none"/>
          </w:rPr>
          <w:t>https://ocindex.net/</w:t>
        </w:r>
      </w:hyperlink>
    </w:p>
    <w:p w14:paraId="456668D2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1E2B1416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Holdberh, N. O., &amp; Urlapova, O. Y. (2024). Ways of Committing Real Estate Fraud.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JE Eur. L.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, 40.</w:t>
      </w:r>
    </w:p>
    <w:p w14:paraId="3BFD92E3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75AE64A9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International Organization for Standardization. (2020).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Upravljanje otpadom od građevinskog materijala i rušenja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(Management of waste from construction and demolition). ISO 20887:2020. Retrieved 10.02.2026, from </w:t>
      </w:r>
      <w:hyperlink r:id="rId10" w:history="1">
        <w:r w:rsidRPr="00C976C3">
          <w:rPr>
            <w:rFonts w:ascii="Times New Roman" w:eastAsia="Calibri" w:hAnsi="Times New Roman" w:cs="Arial"/>
            <w:color w:val="0563C1"/>
            <w:sz w:val="24"/>
            <w:u w:val="single"/>
          </w:rPr>
          <w:t>https://www.iso.org/standard/69370.html</w:t>
        </w:r>
      </w:hyperlink>
    </w:p>
    <w:p w14:paraId="2E7BB86C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3E588AFA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Jovanović, Đ., &amp; Živković, T. (2019). Security threats and challenges – Inadequate waste management at the local level in the Republic of Serbia.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Teme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43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981–996. </w:t>
      </w:r>
      <w:hyperlink r:id="rId11" w:history="1">
        <w:r w:rsidRPr="00C976C3">
          <w:rPr>
            <w:rFonts w:ascii="Times New Roman" w:eastAsia="MS Mincho" w:hAnsi="Times New Roman" w:cs="Times New Roman"/>
            <w:color w:val="0563C1"/>
            <w:sz w:val="24"/>
            <w:u w:val="single"/>
            <w14:ligatures w14:val="none"/>
          </w:rPr>
          <w:t>https://doi.org/10.22190/TEME191011058J</w:t>
        </w:r>
      </w:hyperlink>
    </w:p>
    <w:p w14:paraId="5E5B50B3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5D85BBB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Jovanović, D., &amp; Živković, T. (2019a). Public-private partnership as a possibility for improving municipal waste management.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Spatium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42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41–48. </w:t>
      </w:r>
      <w:hyperlink r:id="rId12" w:history="1">
        <w:r w:rsidRPr="00C976C3">
          <w:rPr>
            <w:rFonts w:ascii="Times New Roman" w:eastAsia="MS Mincho" w:hAnsi="Times New Roman" w:cs="Times New Roman"/>
            <w:color w:val="0563C1"/>
            <w:sz w:val="24"/>
            <w:u w:val="single"/>
            <w14:ligatures w14:val="none"/>
          </w:rPr>
          <w:t>https://doi.org/10.2298/SPAT1942041J</w:t>
        </w:r>
      </w:hyperlink>
    </w:p>
    <w:p w14:paraId="0CBBD87F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3843F6A4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Kostić, V., Kostić, A., &amp; Milićević, S. (2025). Green economy in natural capital management: Implications for sustainable development.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TEME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49(1), 65–87. </w:t>
      </w:r>
      <w:hyperlink r:id="rId13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https://doi.org/10.22190/TEME240126003K</w:t>
        </w:r>
      </w:hyperlink>
    </w:p>
    <w:p w14:paraId="0064EB18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2259C606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Koumpias AM, Martínez-Vázquez J, Sanz-Arcega E (2022), "Housing bubbles and land planning corruption: evidence from Spain’s largest municipalities".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Applied Economic Analysis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Vol. 30 No. 89 pp. 132–150, doi: </w:t>
      </w:r>
      <w:hyperlink r:id="rId14" w:tgtFrame="_blank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https://doi.org/10.1108/AEA-11-2020-0159</w:t>
        </w:r>
      </w:hyperlink>
    </w:p>
    <w:p w14:paraId="7DCD53D2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90EA2DA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Li, S. G., Xu, X. Y., Liu, Q. H., Dong, Z., &amp; Dong, J. C. (2023). Financial Development, Real Estate Investment and Economic Growth. Applied Economics, 55(54), 6360–6377. </w:t>
      </w:r>
      <w:hyperlink r:id="rId15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https://doi.org/10.1080/00036846.2022.2154313</w:t>
        </w:r>
      </w:hyperlink>
    </w:p>
    <w:p w14:paraId="5E12F0D4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718A7AC1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Martyniak, M. (2023). Resilience of households on the housing real estate market to economic shocks in the 2019-2022.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Zeszyty Naukowe. Organizacja i Zarządzanie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181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, 377-386.</w:t>
      </w:r>
    </w:p>
    <w:p w14:paraId="0471FBE1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8943E17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lastRenderedPageBreak/>
        <w:t xml:space="preserve">Matveeva, M. V. (2020, June). Impact of escrow accounts on construction rates. In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IOP Conference Series: Materials Science and Engineering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(Vol. 880, No. 1, p. 012119). IOP Publishing. </w:t>
      </w:r>
      <w:hyperlink r:id="rId16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https://doi.org/10.1088/1757-899X/880/1/012119</w:t>
        </w:r>
      </w:hyperlink>
    </w:p>
    <w:p w14:paraId="1A1EDB7D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Ministarstvo finansija Republike Srbije – Uprava za sprečavanje pranja novca. (2024).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Nacionalna procena rizika: Procena rizika od pranja novca (National risk assessment: Money laundering risk assessment)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. Beograd: Ministarstvo finansija Republike Srbije. </w:t>
      </w:r>
    </w:p>
    <w:p w14:paraId="45597BE8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2CD709CD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Ministarstvo građevinarstva, saobraćaja i infrastrukture. (2025).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Godišnji izveštaj o radu Republičke građevinske inspekcije za 2024. godinu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. </w:t>
      </w:r>
      <w:r w:rsidRPr="00C976C3">
        <w:rPr>
          <w:rFonts w:ascii="Times New Roman" w:eastAsia="MS Mincho" w:hAnsi="Times New Roman" w:cs="Times New Roman"/>
          <w:bCs/>
          <w:i/>
          <w:iCs/>
          <w:sz w:val="24"/>
          <w:lang w:val="en-US"/>
          <w14:ligatures w14:val="none"/>
        </w:rPr>
        <w:t>(Annual report on the work of the Republic construction inspection for 2024)</w:t>
      </w:r>
      <w:r w:rsidRPr="00C976C3">
        <w:rPr>
          <w:rFonts w:ascii="Times New Roman" w:eastAsia="MS Mincho" w:hAnsi="Times New Roman" w:cs="Times New Roman"/>
          <w:bCs/>
          <w:sz w:val="24"/>
          <w:lang w:val="en-US"/>
          <w14:ligatures w14:val="none"/>
        </w:rPr>
        <w:t xml:space="preserve">. 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Beograd: Ministarstvo građevinarstva, saobraćaja i infrastrukture.</w:t>
      </w:r>
    </w:p>
    <w:p w14:paraId="53B49D83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Cs/>
          <w:sz w:val="24"/>
          <w:lang w:val="en-GB"/>
          <w14:ligatures w14:val="none"/>
        </w:rPr>
      </w:pPr>
    </w:p>
    <w:p w14:paraId="509FCA93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Nacionalna alijansa za lokalni ekonomski razvoj (NALED). (2023).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Siva ekonomija u sektoru zakupa nepokretnosti: Poreski i institucionalni izazovi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. </w:t>
      </w:r>
      <w:r w:rsidRPr="00C976C3">
        <w:rPr>
          <w:rFonts w:ascii="Times New Roman" w:eastAsia="MS Mincho" w:hAnsi="Times New Roman" w:cs="Times New Roman"/>
          <w:bCs/>
          <w:sz w:val="24"/>
          <w:lang w:val="en-US"/>
          <w14:ligatures w14:val="none"/>
        </w:rPr>
        <w:t xml:space="preserve">(Grey economy in the real estate rental sector: tax and institutional challenges). 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Beograd: NALED.</w:t>
      </w:r>
    </w:p>
    <w:p w14:paraId="7D6E0FE9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1D2B3FB9" w14:textId="77777777" w:rsidR="00C976C3" w:rsidRDefault="00C976C3" w:rsidP="00C976C3">
      <w:pPr>
        <w:spacing w:after="0" w:line="360" w:lineRule="auto"/>
        <w:ind w:firstLine="567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Calibri" w:hAnsi="Times New Roman" w:cs="Arial"/>
          <w:sz w:val="24"/>
        </w:rPr>
        <w:t>Nastić, M. (2024). Access to justice in the digital age</w:t>
      </w:r>
      <w:r w:rsidRPr="00C976C3">
        <w:rPr>
          <w:rFonts w:ascii="Times New Roman" w:eastAsia="Calibri" w:hAnsi="Times New Roman" w:cs="Arial"/>
          <w:i/>
          <w:iCs/>
          <w:sz w:val="24"/>
        </w:rPr>
        <w:t>.</w:t>
      </w:r>
      <w:r w:rsidRPr="00C976C3">
        <w:rPr>
          <w:rFonts w:ascii="Times New Roman" w:eastAsia="Calibri" w:hAnsi="Times New Roman" w:cs="Arial"/>
          <w:sz w:val="24"/>
        </w:rPr>
        <w:t xml:space="preserve"> </w:t>
      </w:r>
      <w:r w:rsidRPr="00C976C3">
        <w:rPr>
          <w:rFonts w:ascii="Times New Roman" w:eastAsia="Calibri" w:hAnsi="Times New Roman" w:cs="Arial"/>
          <w:i/>
          <w:iCs/>
          <w:sz w:val="24"/>
        </w:rPr>
        <w:t>TEME</w:t>
      </w:r>
      <w:r w:rsidRPr="00C976C3">
        <w:rPr>
          <w:rFonts w:ascii="Times New Roman" w:eastAsia="Calibri" w:hAnsi="Times New Roman" w:cs="Arial"/>
          <w:b/>
          <w:bCs/>
          <w:i/>
          <w:iCs/>
          <w:sz w:val="24"/>
        </w:rPr>
        <w:t xml:space="preserve">, </w:t>
      </w:r>
      <w:r w:rsidRPr="00C976C3">
        <w:rPr>
          <w:rFonts w:ascii="Times New Roman" w:eastAsia="Calibri" w:hAnsi="Times New Roman" w:cs="Arial"/>
          <w:i/>
          <w:iCs/>
          <w:sz w:val="24"/>
        </w:rPr>
        <w:t>48(4), 235–249.</w:t>
      </w:r>
      <w:r w:rsidRPr="00C976C3">
        <w:rPr>
          <w:rFonts w:ascii="Times New Roman" w:eastAsia="Calibri" w:hAnsi="Times New Roman" w:cs="Arial"/>
          <w:sz w:val="24"/>
        </w:rPr>
        <w:t xml:space="preserve"> </w:t>
      </w:r>
      <w:hyperlink r:id="rId17" w:history="1">
        <w:r w:rsidRPr="00C976C3">
          <w:rPr>
            <w:rFonts w:ascii="Times New Roman" w:eastAsia="Calibri" w:hAnsi="Times New Roman" w:cs="Arial"/>
            <w:color w:val="0563C1"/>
            <w:sz w:val="24"/>
            <w:u w:val="single"/>
          </w:rPr>
          <w:t>https://doi.org/10.22190/TEME241104018N</w:t>
        </w:r>
      </w:hyperlink>
    </w:p>
    <w:p w14:paraId="075DADAE" w14:textId="77777777" w:rsidR="00C976C3" w:rsidRPr="00C976C3" w:rsidRDefault="00C976C3" w:rsidP="00C976C3">
      <w:pPr>
        <w:spacing w:after="0" w:line="360" w:lineRule="auto"/>
        <w:ind w:firstLine="567"/>
        <w:rPr>
          <w:rFonts w:ascii="Times New Roman" w:eastAsia="Calibri" w:hAnsi="Times New Roman" w:cs="Arial"/>
          <w:sz w:val="24"/>
        </w:rPr>
      </w:pPr>
    </w:p>
    <w:p w14:paraId="1F385947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Property Rights Alliance. (2025).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International Property Rights Index 2025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.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br/>
        <w:t xml:space="preserve">Retrieved 10.02.2026, from </w:t>
      </w:r>
      <w:hyperlink r:id="rId18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https://internationalpropertyrightsindex.org/</w:t>
        </w:r>
      </w:hyperlink>
    </w:p>
    <w:p w14:paraId="40510FCC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4FC5ADB1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Republički geodetski zavod. (2025a).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Izveštaj o stanju na tržištu nepokretnosti u Republici Srbiji, 2014-2024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(Report on the state of the real estate market for the period 2014–2024). Beograd: Republički geodetski zavod. Retrieved 10.02.2026 </w:t>
      </w:r>
      <w:hyperlink r:id="rId19" w:history="1">
        <w:r w:rsidRPr="00C976C3">
          <w:rPr>
            <w:rFonts w:ascii="Times New Roman" w:eastAsia="MS Mincho" w:hAnsi="Times New Roman" w:cs="Times New Roman"/>
            <w:color w:val="0563C1"/>
            <w:sz w:val="24"/>
            <w:u w:val="single"/>
            <w14:ligatures w14:val="none"/>
          </w:rPr>
          <w:t>https://www.rgz.gov.rs/izve%C5%A1taji-za-profesionalne-korisnike</w:t>
        </w:r>
      </w:hyperlink>
    </w:p>
    <w:p w14:paraId="760DC0C6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DA54247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Republički geodetski zavod. (2025b).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Izveštaj o delimično regulisanom sistemu tržišta nepokretnosti u Republici Srbiji za 2024. godinu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(Report on the Partially Regulated Real Estate Market System in the Republic of Serbia for 2024). Beograd: Republički geodetski zavod. Retrieved 10.02.2026, from </w:t>
      </w:r>
      <w:hyperlink r:id="rId20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https://www.rgz.gov.rs/content/docs/000/000/006/Извештај о делимично регулисаном тржишту за%20 2024.годину.pdf</w:t>
        </w:r>
      </w:hyperlink>
    </w:p>
    <w:p w14:paraId="64B7C7E1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77EC9BF8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lastRenderedPageBreak/>
        <w:t xml:space="preserve">Republički geodetski zavod. (n.d.).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GeoSrbija – Nacionalna infrastruktura geoprostornih podataka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. Retrieved 10.02.2026, from </w:t>
      </w:r>
      <w:hyperlink r:id="rId21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https://a3.geosrbija.rs/</w:t>
        </w:r>
      </w:hyperlink>
    </w:p>
    <w:p w14:paraId="23592271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4B2874CD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Republički zavod za statistiku. (2026a).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br/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Izdate građevinske dozvole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</w:t>
      </w:r>
      <w:r w:rsidRPr="00C976C3">
        <w:rPr>
          <w:rFonts w:ascii="Times New Roman" w:eastAsia="MS Mincho" w:hAnsi="Times New Roman" w:cs="Times New Roman"/>
          <w:bCs/>
          <w:i/>
          <w:iCs/>
          <w:sz w:val="24"/>
          <w:lang w:val="en-US"/>
          <w14:ligatures w14:val="none"/>
        </w:rPr>
        <w:t>(Issued building permits)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[Statistička baza podataka]. Beograd: Republički zavod za statistiku.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br/>
        <w:t xml:space="preserve">Retrieved 10.02.2026, from </w:t>
      </w:r>
      <w:hyperlink r:id="rId22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https://data.stat.gov.rs/</w:t>
        </w:r>
      </w:hyperlink>
    </w:p>
    <w:p w14:paraId="4D6A5AA3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A15B21D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Republički zavod za statistiku. (2026b).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br/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Izgrađene površine objekata (Constructed floor area)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[Statistička baza podataka]. Beograd: Republički zavod za statistiku.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br/>
        <w:t xml:space="preserve">Retrieved 10.02.2026, from </w:t>
      </w:r>
      <w:hyperlink r:id="rId23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https://data.stat.gov.rs/</w:t>
        </w:r>
      </w:hyperlink>
    </w:p>
    <w:p w14:paraId="75890390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5D5EF3FA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Republika Srbija. (2023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). Uredba o načinu i postupku upravljanja otpadom od građenja i rušenja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(Regulation on the manner and procedure of construction and demolition waste management) (Službeni glasnik Republike Srbije, br. 93/2023, 94/2023 – ispr.).</w:t>
      </w:r>
    </w:p>
    <w:p w14:paraId="42FA5527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1EC297D0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Republika Srbija. (2024).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Pravilnik o uređenju, upravljanju, odlaganju i deponovanju građevinskog otpada u toku izvođenja radova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(Rulebook on the regulation, management, disposal, and landfilling of construction waste during construction works) (Službeni glasnik Republike Srbije, br. 81/2024).</w:t>
      </w:r>
    </w:p>
    <w:p w14:paraId="086F3277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2A46BFCF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Simović, M., &amp; Šikman, M. (2021). Towards a transdisciplinary approach in the study and control of crime.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TEME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45(2), 715–738. </w:t>
      </w:r>
      <w:hyperlink r:id="rId24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https://doi.org/10.22190/TEME190211041S</w:t>
        </w:r>
      </w:hyperlink>
    </w:p>
    <w:p w14:paraId="01B9062A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77393958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Tarasenko, O., Stankovych, M., &amp; Pozihun. (2024). Economic crime in the field of real estate.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Baltic Journal of Economic Studies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10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(3), 313-317. </w:t>
      </w:r>
      <w:hyperlink r:id="rId25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https://doi.org/10.30525/2256-0742/2024-10-3-313-317</w:t>
        </w:r>
      </w:hyperlink>
    </w:p>
    <w:p w14:paraId="2FEA204F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959DA4E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Transparency International. (2024).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Corruption Perceptions Index 2024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.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br/>
        <w:t xml:space="preserve">Retrieved 10.02.2026, from </w:t>
      </w:r>
      <w:hyperlink r:id="rId26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https://www.transparency.org/en/cpi/2024</w:t>
        </w:r>
      </w:hyperlink>
    </w:p>
    <w:p w14:paraId="74D219A1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3718CD8F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iCs/>
          <w:sz w:val="24"/>
          <w14:ligatures w14:val="none"/>
        </w:rPr>
        <w:t xml:space="preserve">U.S. Green Building Council. (2024). Leadership in Energy and Environmental Design (LEED). Retrieved 10.02.2026, from </w:t>
      </w:r>
      <w:hyperlink r:id="rId27" w:history="1">
        <w:r w:rsidRPr="00C976C3">
          <w:rPr>
            <w:rFonts w:ascii="Times New Roman" w:eastAsia="MS Mincho" w:hAnsi="Times New Roman" w:cs="Times New Roman"/>
            <w:iCs/>
            <w:color w:val="0000FF"/>
            <w:sz w:val="24"/>
            <w:u w:val="single"/>
            <w14:ligatures w14:val="none"/>
          </w:rPr>
          <w:t>https://www.usgbc.org/leed</w:t>
        </w:r>
      </w:hyperlink>
    </w:p>
    <w:p w14:paraId="77AECEF5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iCs/>
          <w:sz w:val="24"/>
          <w14:ligatures w14:val="none"/>
        </w:rPr>
      </w:pPr>
    </w:p>
    <w:p w14:paraId="4D92BE04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Ugalde, V. (2023). Overregulation, Corruption, and Urbicide. In: Carrión Mena, F., Cepeda Pico, P. (eds) Urbicide. The Urban Book Series. Springer, Cham. </w:t>
      </w:r>
      <w:hyperlink r:id="rId28" w:history="1">
        <w:r w:rsidRPr="00C976C3">
          <w:rPr>
            <w:rFonts w:ascii="Times New Roman" w:eastAsia="MS Mincho" w:hAnsi="Times New Roman" w:cs="Times New Roman"/>
            <w:color w:val="0563C1"/>
            <w:sz w:val="24"/>
            <w:u w:val="single"/>
            <w14:ligatures w14:val="none"/>
          </w:rPr>
          <w:t>https://doi.org/10.1007/978-3-031-25304-1_16</w:t>
        </w:r>
      </w:hyperlink>
    </w:p>
    <w:p w14:paraId="147069C4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11907BD8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Vlada Republike Srbije. (2022).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Program upravljanja otpadom u Republici Srbiji za period 2022–2031. godine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. </w:t>
      </w:r>
      <w:r w:rsidRPr="00C976C3">
        <w:rPr>
          <w:rFonts w:ascii="Times New Roman" w:eastAsia="MS Mincho" w:hAnsi="Times New Roman" w:cs="Times New Roman"/>
          <w:bCs/>
          <w:i/>
          <w:iCs/>
          <w:sz w:val="24"/>
          <w:lang w:val="en-US"/>
          <w14:ligatures w14:val="none"/>
        </w:rPr>
        <w:t>(Waste Management Program in the Republic of Serbia for the Period 2022–2031)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. Službeni glasnik Republike Srbije.</w:t>
      </w:r>
    </w:p>
    <w:p w14:paraId="1BA8DFF1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EEBBF85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Vlada Republike Srbije. (2023).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Uredba o načinu, uslovima i postupku za privremeno priključenje nelegalno izgrađenih objekata na elektroenergetsku mrežu, vodovod i kanalizaciju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. Službeni glasnik Republike Srbije, br. 70/2023.</w:t>
      </w:r>
    </w:p>
    <w:p w14:paraId="02A7A416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51F380B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World Economic Forum. (2019).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The Global Competitiveness Report 2019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. Geneva: World Economic Forum. Retrieved 10.02.2026, from </w:t>
      </w:r>
      <w:hyperlink r:id="rId29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https://www.weforum.org/</w:t>
        </w:r>
      </w:hyperlink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 </w:t>
      </w:r>
    </w:p>
    <w:p w14:paraId="053FD6FD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79B5D908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World Justice Project. (2025).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Rule of Law Index 2025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.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br/>
        <w:t xml:space="preserve">Retrieved 10.02.2026, from </w:t>
      </w:r>
      <w:hyperlink r:id="rId30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https://worldjusticeproject.org/rule-of-law-index</w:t>
        </w:r>
      </w:hyperlink>
    </w:p>
    <w:p w14:paraId="6903C0FB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5053FC58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državnom premeru i katastru. Službeni glasnik Republike Srbije, br. 72/09, 18/10, 65/13, 15/15 – US, 96/15, 47/17 – autentično tumačenje, 113/17 – dr. zakon, 27/18 – dr. zakon, 41/18 – dr. zakon, 9/20 – dr. zakon. (Law on State Survey and Cadastre).</w:t>
      </w:r>
    </w:p>
    <w:p w14:paraId="761D0C0D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4104A04C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javnom beležništvu. Službeni glasnik Republike Srbije, br. 31/2011, 85/2012, 19/2013, 55/2014 – dr. zakon, 93/2014 – dr. zakon, 121/2014, 6/2015, 106/2015, 94/2024. (Law on Notaries Public).</w:t>
      </w:r>
    </w:p>
    <w:p w14:paraId="48D5FB9F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98665C3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komunalnim delatnostima. Službeni glasnik Republike Srbije, br. 88/11, 104/16, 95/18. (Law on Public Utility Services).</w:t>
      </w:r>
    </w:p>
    <w:p w14:paraId="5A0B1F62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3FAE818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obligacionim odnosima. Službeni list SFRJ, br. 29/78, 39/85, 45/89 – odluka USJ i 57/89; Službeni list SRJ, br. 31/93; Službeni list SCG, br. 1/2003 – Ustavna povelja; Službeni glasnik Republike Srbije, br. 18/2020. (Law on Obligations).</w:t>
      </w:r>
    </w:p>
    <w:p w14:paraId="132A0733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2BA6BD08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lastRenderedPageBreak/>
        <w:t>Zakon o ozakonjenju objekata. Službeni glasnik Republike Srbije, br. 96/2015, 83/2018, 81/2020 - odluka US, 1/2023 - odluka US i 62/2023 (Law on Legalization of Buildings).</w:t>
      </w:r>
    </w:p>
    <w:p w14:paraId="46A50141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36AEAD5B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planiranju i izgradnji. Službeni glasnik Republike Srbije, br. 72/2009, 81/2009 – ispr., 64/2010 – odluka US, 24/2011, 121/2012, 42/2013 – odluka US, 50/2013 – odluka US, 98/2013 – odluka US, 132/2014, 145/2014, 83/2018, 31/2019, 37/2019 – dr. zakon, 9/2020, 52/2021, 62/2023 i 91/2025. (Law on Planning and Construction).</w:t>
      </w:r>
    </w:p>
    <w:p w14:paraId="54CE5A66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663D408B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porezu na dohodak građana. Službeni glasnik Republike Srbije, br. 24/2001, 80/2002, 80/2002 – dr. zakon, 135/2004, 62/2006, 65/2006 – ispr., 31/2009, 44/2009, 18/2010, 50/2011, 91/2011 – odluka US, 7/2012 – usklađeni din. izn., 93/2012, 114/2012 – odluka US, 8/2013 – usklađeni din. izn., 47/2013, 48/2013 – ispr., 108/2013, 6/2014 – usklađeni din. izn., 57/2014, 68/2014 – dr. zakon, 5/2015 – usklađeni din. izn., 112/2015, 5/2016 – usklađeni din. izn., 7/2017 – usklađeni din. izn., 113/2017, 7/2018 – usklađeni din. izn., 95/2018, 4/2019 – usklađeni din. izn., 86/2019, 5/2020 – usklađeni din. izn., 153/2020, 156/2020 – usklađeni din. izn., 6/2021 – usklađeni din. izn., 44/2021, 118/2021, 132/2021 – usklađeni din. izn., 10/2022 – usklađeni din. izn., 138/2022, 144/2022 – usklađeni din. izn., 6/2023 – usklađeni din. izn., 92/2023, 116/2023 – usklađeni din. izn., 6/2024 – usklađeni din. izn., 94/2024, 101/2024 – usklađeni din. izn., 8/2025 – usklađeni din. izn., 19/2025, 109/2025, 115/2025 – usklađeni din. izn. i 6/2026 – usklađeni din. izn. (Law on Personal Income Tax).</w:t>
      </w:r>
    </w:p>
    <w:p w14:paraId="36B35DD0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56E1EF15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posebnim uslovima za evidentiranje i upis prava na nepokretnostima. Službeni glasnik Republike Srbije, br. 91/2025. (Law on Special Conditions for Recording and Registration of Rights to Real Estate).</w:t>
      </w:r>
    </w:p>
    <w:p w14:paraId="41473A44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349DE99F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prometu nepokretnosti. Službeni glasnik Republike Srbije br. 93/2014, 121/2014 i 6/2015</w:t>
      </w:r>
      <w:r w:rsidRPr="00C976C3">
        <w:rPr>
          <w:rFonts w:ascii="Times New Roman" w:eastAsia="MS Mincho" w:hAnsi="Times New Roman" w:cs="Times New Roman"/>
          <w:b/>
          <w:bCs/>
          <w:sz w:val="24"/>
          <w14:ligatures w14:val="none"/>
        </w:rPr>
        <w:t xml:space="preserve"> 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>(Law on the Transfer of Real Estate).</w:t>
      </w:r>
    </w:p>
    <w:p w14:paraId="7BEB8475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:lang w:val="en-GB"/>
          <w14:ligatures w14:val="none"/>
        </w:rPr>
      </w:pPr>
    </w:p>
    <w:p w14:paraId="29184F4E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sprečavanju pranja novca i finansiranja terorizma. Službeni glasnik Republike Srbije, br. 113/2007, 55/2013, 108/2014, 112/2015, 97/2018. (Law on the Prevention of Money Laundering and Financing of Terrorism).</w:t>
      </w:r>
    </w:p>
    <w:p w14:paraId="238397E3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24A7354F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zaštiti vazduha i vode. Službeni glasnik Republike Srbije, br. 36/09, 88/10, 91/10, 93/12, 101/16, 95/18. (Law on Air and Water Protection).</w:t>
      </w:r>
    </w:p>
    <w:p w14:paraId="1C9B93AA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3DB4E699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>Zakon o zaštiti životne sredine. Službeni glasnik Republike Srbije, br. 135/04, 36/09, 88/10, 91/10, 14/16, 95/18. (Law on Environmental Protection).</w:t>
      </w:r>
    </w:p>
    <w:p w14:paraId="236EDB07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sz w:val="24"/>
          <w14:ligatures w14:val="none"/>
        </w:rPr>
      </w:pPr>
    </w:p>
    <w:p w14:paraId="5FFF5FAF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Zhang, L., Ci, L., Wu, Y., &amp; Wiwatanapataphee, B. (2024). The real estate time-stamping and registration system based on Ethereum blockchain. </w:t>
      </w:r>
      <w:r w:rsidRPr="00C976C3">
        <w:rPr>
          <w:rFonts w:ascii="Times New Roman" w:eastAsia="MS Mincho" w:hAnsi="Times New Roman" w:cs="Times New Roman"/>
          <w:i/>
          <w:iCs/>
          <w:sz w:val="24"/>
          <w14:ligatures w14:val="none"/>
        </w:rPr>
        <w:t>Blockchain: Research and Applications</w:t>
      </w:r>
      <w:r w:rsidRPr="00C976C3">
        <w:rPr>
          <w:rFonts w:ascii="Times New Roman" w:eastAsia="MS Mincho" w:hAnsi="Times New Roman" w:cs="Times New Roman"/>
          <w:sz w:val="24"/>
          <w14:ligatures w14:val="none"/>
        </w:rPr>
        <w:t xml:space="preserve">, 5(1), 100175. </w:t>
      </w:r>
      <w:hyperlink r:id="rId31" w:history="1">
        <w:r w:rsidRPr="00C976C3">
          <w:rPr>
            <w:rFonts w:ascii="Times New Roman" w:eastAsia="MS Mincho" w:hAnsi="Times New Roman" w:cs="Times New Roman"/>
            <w:color w:val="0000FF"/>
            <w:sz w:val="24"/>
            <w:u w:val="single"/>
            <w14:ligatures w14:val="none"/>
          </w:rPr>
          <w:t>https://doi.org/10.1016/j.bcra.2023.100175</w:t>
        </w:r>
      </w:hyperlink>
    </w:p>
    <w:p w14:paraId="0C363719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/>
          <w:sz w:val="24"/>
          <w:lang w:val="en-US"/>
          <w14:ligatures w14:val="none"/>
        </w:rPr>
      </w:pPr>
    </w:p>
    <w:p w14:paraId="6306B030" w14:textId="77777777" w:rsid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Cs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bCs/>
          <w:sz w:val="24"/>
          <w14:ligatures w14:val="none"/>
        </w:rPr>
        <w:t xml:space="preserve">Retrieved 10.02.2026, from </w:t>
      </w:r>
      <w:hyperlink r:id="rId32" w:history="1">
        <w:r w:rsidRPr="00C976C3">
          <w:rPr>
            <w:rFonts w:ascii="Times New Roman" w:eastAsia="MS Mincho" w:hAnsi="Times New Roman" w:cs="Times New Roman"/>
            <w:bCs/>
            <w:color w:val="0000FF"/>
            <w:sz w:val="24"/>
            <w:u w:val="single"/>
            <w14:ligatures w14:val="none"/>
          </w:rPr>
          <w:t>https://www.bbc.com/serbian/articles/c0q4nj990ppo/lat</w:t>
        </w:r>
      </w:hyperlink>
      <w:r w:rsidRPr="00C976C3">
        <w:rPr>
          <w:rFonts w:ascii="Times New Roman" w:eastAsia="MS Mincho" w:hAnsi="Times New Roman" w:cs="Times New Roman"/>
          <w:bCs/>
          <w:sz w:val="24"/>
          <w14:ligatures w14:val="none"/>
        </w:rPr>
        <w:t>).</w:t>
      </w:r>
    </w:p>
    <w:p w14:paraId="08D785BE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Cs/>
          <w:sz w:val="24"/>
          <w14:ligatures w14:val="none"/>
        </w:rPr>
      </w:pPr>
    </w:p>
    <w:p w14:paraId="12A205B2" w14:textId="77777777" w:rsidR="00C976C3" w:rsidRPr="00C976C3" w:rsidRDefault="00C976C3" w:rsidP="00C976C3">
      <w:pPr>
        <w:spacing w:after="0" w:line="360" w:lineRule="auto"/>
        <w:ind w:firstLine="567"/>
        <w:jc w:val="both"/>
        <w:rPr>
          <w:rFonts w:ascii="Times New Roman" w:eastAsia="MS Mincho" w:hAnsi="Times New Roman" w:cs="Times New Roman"/>
          <w:bCs/>
          <w:sz w:val="24"/>
          <w14:ligatures w14:val="none"/>
        </w:rPr>
      </w:pPr>
      <w:r w:rsidRPr="00C976C3">
        <w:rPr>
          <w:rFonts w:ascii="Times New Roman" w:eastAsia="MS Mincho" w:hAnsi="Times New Roman" w:cs="Times New Roman"/>
          <w:bCs/>
          <w:sz w:val="24"/>
          <w14:ligatures w14:val="none"/>
        </w:rPr>
        <w:t xml:space="preserve">Retrieved 10.02.2026, from </w:t>
      </w:r>
      <w:hyperlink r:id="rId33" w:history="1">
        <w:r w:rsidRPr="00C976C3">
          <w:rPr>
            <w:rFonts w:ascii="Times New Roman" w:eastAsia="MS Mincho" w:hAnsi="Times New Roman" w:cs="Times New Roman"/>
            <w:bCs/>
            <w:color w:val="0000FF"/>
            <w:sz w:val="24"/>
            <w:u w:val="single"/>
            <w14:ligatures w14:val="none"/>
          </w:rPr>
          <w:t>https://www.blic.rs/vesti/beograd/bara-reva-zasticeno-prirodno-podrucje-i-staniste-ptica-ili-mesto-za-odlaganje/hjnsvfq</w:t>
        </w:r>
      </w:hyperlink>
      <w:r w:rsidRPr="00C976C3">
        <w:rPr>
          <w:rFonts w:ascii="Times New Roman" w:eastAsia="MS Mincho" w:hAnsi="Times New Roman" w:cs="Times New Roman"/>
          <w:bCs/>
          <w:sz w:val="24"/>
          <w14:ligatures w14:val="none"/>
        </w:rPr>
        <w:t xml:space="preserve"> </w:t>
      </w:r>
    </w:p>
    <w:p w14:paraId="68CB633A" w14:textId="77777777" w:rsidR="005F5384" w:rsidRDefault="005F5384"/>
    <w:sectPr w:rsidR="005F5384" w:rsidSect="002F1C3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6C3"/>
    <w:rsid w:val="001F7941"/>
    <w:rsid w:val="00250F2D"/>
    <w:rsid w:val="002F1C33"/>
    <w:rsid w:val="005366DD"/>
    <w:rsid w:val="005F5384"/>
    <w:rsid w:val="007D2005"/>
    <w:rsid w:val="00B827A6"/>
    <w:rsid w:val="00C976C3"/>
    <w:rsid w:val="00CA097C"/>
    <w:rsid w:val="00CC591B"/>
    <w:rsid w:val="00FD50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052D9"/>
  <w15:chartTrackingRefBased/>
  <w15:docId w15:val="{569B927D-6F69-45E9-8A4E-11E4827D7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lang w:val="sr-Latn-R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C976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976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976C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976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976C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976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976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976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976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976C3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sr-Latn-RS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976C3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sr-Latn-RS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976C3"/>
    <w:rPr>
      <w:rFonts w:eastAsiaTheme="majorEastAsia" w:cstheme="majorBidi"/>
      <w:color w:val="2F5496" w:themeColor="accent1" w:themeShade="BF"/>
      <w:sz w:val="28"/>
      <w:szCs w:val="28"/>
      <w:lang w:val="sr-Latn-RS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976C3"/>
    <w:rPr>
      <w:rFonts w:eastAsiaTheme="majorEastAsia" w:cstheme="majorBidi"/>
      <w:i/>
      <w:iCs/>
      <w:color w:val="2F5496" w:themeColor="accent1" w:themeShade="BF"/>
      <w:lang w:val="sr-Latn-RS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976C3"/>
    <w:rPr>
      <w:rFonts w:eastAsiaTheme="majorEastAsia" w:cstheme="majorBidi"/>
      <w:color w:val="2F5496" w:themeColor="accent1" w:themeShade="BF"/>
      <w:lang w:val="sr-Latn-RS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976C3"/>
    <w:rPr>
      <w:rFonts w:eastAsiaTheme="majorEastAsia" w:cstheme="majorBidi"/>
      <w:i/>
      <w:iCs/>
      <w:color w:val="595959" w:themeColor="text1" w:themeTint="A6"/>
      <w:lang w:val="sr-Latn-RS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976C3"/>
    <w:rPr>
      <w:rFonts w:eastAsiaTheme="majorEastAsia" w:cstheme="majorBidi"/>
      <w:color w:val="595959" w:themeColor="text1" w:themeTint="A6"/>
      <w:lang w:val="sr-Latn-RS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976C3"/>
    <w:rPr>
      <w:rFonts w:eastAsiaTheme="majorEastAsia" w:cstheme="majorBidi"/>
      <w:i/>
      <w:iCs/>
      <w:color w:val="272727" w:themeColor="text1" w:themeTint="D8"/>
      <w:lang w:val="sr-Latn-RS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976C3"/>
    <w:rPr>
      <w:rFonts w:eastAsiaTheme="majorEastAsia" w:cstheme="majorBidi"/>
      <w:color w:val="272727" w:themeColor="text1" w:themeTint="D8"/>
      <w:lang w:val="sr-Latn-RS"/>
    </w:rPr>
  </w:style>
  <w:style w:type="paragraph" w:styleId="Titel">
    <w:name w:val="Title"/>
    <w:basedOn w:val="Standard"/>
    <w:next w:val="Standard"/>
    <w:link w:val="TitelZchn"/>
    <w:uiPriority w:val="10"/>
    <w:qFormat/>
    <w:rsid w:val="00C976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976C3"/>
    <w:rPr>
      <w:rFonts w:asciiTheme="majorHAnsi" w:eastAsiaTheme="majorEastAsia" w:hAnsiTheme="majorHAnsi" w:cstheme="majorBidi"/>
      <w:spacing w:val="-10"/>
      <w:kern w:val="28"/>
      <w:sz w:val="56"/>
      <w:szCs w:val="56"/>
      <w:lang w:val="sr-Latn-RS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976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976C3"/>
    <w:rPr>
      <w:rFonts w:eastAsiaTheme="majorEastAsia" w:cstheme="majorBidi"/>
      <w:color w:val="595959" w:themeColor="text1" w:themeTint="A6"/>
      <w:spacing w:val="15"/>
      <w:sz w:val="28"/>
      <w:szCs w:val="28"/>
      <w:lang w:val="sr-Latn-RS"/>
    </w:rPr>
  </w:style>
  <w:style w:type="paragraph" w:styleId="Zitat">
    <w:name w:val="Quote"/>
    <w:basedOn w:val="Standard"/>
    <w:next w:val="Standard"/>
    <w:link w:val="ZitatZchn"/>
    <w:uiPriority w:val="29"/>
    <w:qFormat/>
    <w:rsid w:val="00C976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976C3"/>
    <w:rPr>
      <w:i/>
      <w:iCs/>
      <w:color w:val="404040" w:themeColor="text1" w:themeTint="BF"/>
      <w:lang w:val="sr-Latn-RS"/>
    </w:rPr>
  </w:style>
  <w:style w:type="paragraph" w:styleId="Listenabsatz">
    <w:name w:val="List Paragraph"/>
    <w:basedOn w:val="Standard"/>
    <w:uiPriority w:val="34"/>
    <w:qFormat/>
    <w:rsid w:val="00C976C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976C3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976C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976C3"/>
    <w:rPr>
      <w:i/>
      <w:iCs/>
      <w:color w:val="2F5496" w:themeColor="accent1" w:themeShade="BF"/>
      <w:lang w:val="sr-Latn-RS"/>
    </w:rPr>
  </w:style>
  <w:style w:type="character" w:styleId="IntensiverVerweis">
    <w:name w:val="Intense Reference"/>
    <w:basedOn w:val="Absatz-Standardschriftart"/>
    <w:uiPriority w:val="32"/>
    <w:qFormat/>
    <w:rsid w:val="00C976C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22190/TEME240126003K" TargetMode="External"/><Relationship Id="rId18" Type="http://schemas.openxmlformats.org/officeDocument/2006/relationships/hyperlink" Target="https://internationalpropertyrightsindex.org/" TargetMode="External"/><Relationship Id="rId26" Type="http://schemas.openxmlformats.org/officeDocument/2006/relationships/hyperlink" Target="https://www.transparency.org/en/cpi/2024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a3.geosrbija.rs/" TargetMode="External"/><Relationship Id="rId34" Type="http://schemas.openxmlformats.org/officeDocument/2006/relationships/fontTable" Target="fontTable.xml"/><Relationship Id="rId7" Type="http://schemas.openxmlformats.org/officeDocument/2006/relationships/hyperlink" Target="https://www.coe.int/en/web/moneyval" TargetMode="External"/><Relationship Id="rId12" Type="http://schemas.openxmlformats.org/officeDocument/2006/relationships/hyperlink" Target="https://doi.org/10.2298/SPAT1942041J" TargetMode="External"/><Relationship Id="rId17" Type="http://schemas.openxmlformats.org/officeDocument/2006/relationships/hyperlink" Target="https://doi.org/10.22190/TEME241104018N" TargetMode="External"/><Relationship Id="rId25" Type="http://schemas.openxmlformats.org/officeDocument/2006/relationships/hyperlink" Target="https://doi.org/10.30525/2256-0742/2024-10-3-313-317" TargetMode="External"/><Relationship Id="rId33" Type="http://schemas.openxmlformats.org/officeDocument/2006/relationships/hyperlink" Target="https://www.blic.rs/vesti/beograd/bara-reva-zasticeno-prirodno-podrucje-i-staniste-ptica-ili-mesto-za-odlaganje/hjnsvfq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d.docs.live.net/662a78bd6406d027/Desktop/FAM/DOKTORSKE%20STUDIJE/&#1042;&#1086;&#1079;&#1084;&#1086;&#1078;&#1085;&#1099;&#1077;%20&#1078;&#1091;&#1088;&#1085;&#1072;&#1083;&#1099;/Teme/TEME_template.docx" TargetMode="External"/><Relationship Id="rId20" Type="http://schemas.openxmlformats.org/officeDocument/2006/relationships/hyperlink" Target="https://www.rgz.gov.rs/content/docs/000/000/006/&#1048;&#1079;&#1074;&#1077;&#1096;&#1090;&#1072;&#1112;%20&#1086;%20&#1076;&#1077;&#1083;&#1080;&#1084;&#1080;&#1095;&#1085;&#1086;%20&#1088;&#1077;&#1075;&#1091;&#1083;&#1080;&#1089;&#1072;&#1085;&#1086;&#1084;%20&#1090;&#1088;&#1078;&#1080;&#1096;&#1090;&#1091;%20&#1079;&#1072;%20%202024.&#1075;&#1086;&#1076;&#1080;&#1085;&#1091;.pdf" TargetMode="External"/><Relationship Id="rId29" Type="http://schemas.openxmlformats.org/officeDocument/2006/relationships/hyperlink" Target="https://www.weforum.org/reports/the-global-competitiveness-report-2019" TargetMode="External"/><Relationship Id="rId1" Type="http://schemas.openxmlformats.org/officeDocument/2006/relationships/styles" Target="styles.xml"/><Relationship Id="rId6" Type="http://schemas.openxmlformats.org/officeDocument/2006/relationships/hyperlink" Target="https://doi.org/10.22190/TEME240719046A" TargetMode="External"/><Relationship Id="rId11" Type="http://schemas.openxmlformats.org/officeDocument/2006/relationships/hyperlink" Target="https://doi.org/10.22190/TEME191011058J" TargetMode="External"/><Relationship Id="rId24" Type="http://schemas.openxmlformats.org/officeDocument/2006/relationships/hyperlink" Target="https://doi.org/10.22190/TEME190211041S" TargetMode="External"/><Relationship Id="rId32" Type="http://schemas.openxmlformats.org/officeDocument/2006/relationships/hyperlink" Target="https://www.bbc.com/serbian/articles/c0q4nj990ppo/lat" TargetMode="External"/><Relationship Id="rId5" Type="http://schemas.openxmlformats.org/officeDocument/2006/relationships/hyperlink" Target="https://doi.org/10.1007/s11403-023-00391-y" TargetMode="External"/><Relationship Id="rId15" Type="http://schemas.openxmlformats.org/officeDocument/2006/relationships/hyperlink" Target="https://doi.org/10.1080/00036846.2022.2154313" TargetMode="External"/><Relationship Id="rId23" Type="http://schemas.openxmlformats.org/officeDocument/2006/relationships/hyperlink" Target="https://data.stat.gov.rs/" TargetMode="External"/><Relationship Id="rId28" Type="http://schemas.openxmlformats.org/officeDocument/2006/relationships/hyperlink" Target="https://doi.org/10.1007/978-3-031-25304-1_16" TargetMode="External"/><Relationship Id="rId10" Type="http://schemas.openxmlformats.org/officeDocument/2006/relationships/hyperlink" Target="https://www.iso.org/standard/69370.html" TargetMode="External"/><Relationship Id="rId19" Type="http://schemas.openxmlformats.org/officeDocument/2006/relationships/hyperlink" Target="https://www.rgz.gov.rs/izve%C5%A1taji-za-profesionalne-korisnike" TargetMode="External"/><Relationship Id="rId31" Type="http://schemas.openxmlformats.org/officeDocument/2006/relationships/hyperlink" Target="https://doi.org/10.1016/j.bcra.2023.100175" TargetMode="External"/><Relationship Id="rId4" Type="http://schemas.openxmlformats.org/officeDocument/2006/relationships/hyperlink" Target="https://doi.org/10.5937/bankarstvo2401038A" TargetMode="External"/><Relationship Id="rId9" Type="http://schemas.openxmlformats.org/officeDocument/2006/relationships/hyperlink" Target="https://ocindex.net/" TargetMode="External"/><Relationship Id="rId14" Type="http://schemas.openxmlformats.org/officeDocument/2006/relationships/hyperlink" Target="https://doi.org/10.1108/AEA-11-2020-0159" TargetMode="External"/><Relationship Id="rId22" Type="http://schemas.openxmlformats.org/officeDocument/2006/relationships/hyperlink" Target="https://data.stat.gov.rs/" TargetMode="External"/><Relationship Id="rId27" Type="http://schemas.openxmlformats.org/officeDocument/2006/relationships/hyperlink" Target="https://www.usgbc.org/leed%20" TargetMode="External"/><Relationship Id="rId30" Type="http://schemas.openxmlformats.org/officeDocument/2006/relationships/hyperlink" Target="https://worldjusticeproject.org/rule-of-law-index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doi.org/10.3390/su17177701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1892</Words>
  <Characters>11921</Characters>
  <Application>Microsoft Office Word</Application>
  <DocSecurity>0</DocSecurity>
  <Lines>99</Lines>
  <Paragraphs>27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Zelisko</dc:creator>
  <cp:keywords/>
  <dc:description/>
  <cp:lastModifiedBy>Pavel Zelisko</cp:lastModifiedBy>
  <cp:revision>1</cp:revision>
  <dcterms:created xsi:type="dcterms:W3CDTF">2026-02-12T09:07:00Z</dcterms:created>
  <dcterms:modified xsi:type="dcterms:W3CDTF">2026-02-12T10:12:00Z</dcterms:modified>
</cp:coreProperties>
</file>