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75E" w:rsidRPr="006E4C52" w:rsidRDefault="0026675E" w:rsidP="0026675E">
      <w:pPr>
        <w:jc w:val="center"/>
        <w:rPr>
          <w:b/>
          <w:sz w:val="22"/>
          <w:szCs w:val="22"/>
          <w:lang w:val="sr-Cyrl-CS"/>
        </w:rPr>
      </w:pPr>
      <w:r>
        <w:rPr>
          <w:b/>
          <w:sz w:val="22"/>
          <w:szCs w:val="22"/>
          <w:lang w:val="en-GB"/>
        </w:rPr>
        <w:t xml:space="preserve">Scientific Journal </w:t>
      </w:r>
      <w:r w:rsidRPr="006E4C52">
        <w:rPr>
          <w:b/>
          <w:sz w:val="22"/>
          <w:szCs w:val="22"/>
          <w:lang w:val="sr-Cyrl-CS"/>
        </w:rPr>
        <w:t xml:space="preserve"> </w:t>
      </w:r>
    </w:p>
    <w:p w:rsidR="0026675E" w:rsidRPr="006E4C52" w:rsidRDefault="0026675E" w:rsidP="0026675E">
      <w:pPr>
        <w:jc w:val="center"/>
        <w:rPr>
          <w:b/>
          <w:sz w:val="22"/>
          <w:szCs w:val="22"/>
          <w:lang w:val="sr-Cyrl-CS"/>
        </w:rPr>
      </w:pPr>
      <w:r>
        <w:rPr>
          <w:b/>
          <w:sz w:val="22"/>
          <w:szCs w:val="22"/>
          <w:lang w:val="sr-Cyrl-CS"/>
        </w:rPr>
        <w:t>ТЕМЕ</w:t>
      </w:r>
    </w:p>
    <w:p w:rsidR="0026675E" w:rsidRDefault="0026675E" w:rsidP="0026675E">
      <w:pPr>
        <w:rPr>
          <w:b/>
          <w:sz w:val="16"/>
          <w:szCs w:val="16"/>
          <w:lang w:val="en-GB"/>
        </w:rPr>
      </w:pPr>
    </w:p>
    <w:p w:rsidR="0026675E" w:rsidRPr="00600480" w:rsidRDefault="0026675E" w:rsidP="0026675E">
      <w:pPr>
        <w:rPr>
          <w:b/>
          <w:sz w:val="16"/>
          <w:szCs w:val="16"/>
          <w:lang w:val="en-GB"/>
        </w:rPr>
      </w:pPr>
    </w:p>
    <w:p w:rsidR="0026675E" w:rsidRPr="006E4C52" w:rsidRDefault="0026675E" w:rsidP="0026675E">
      <w:pPr>
        <w:jc w:val="center"/>
        <w:rPr>
          <w:b/>
          <w:sz w:val="22"/>
          <w:szCs w:val="22"/>
          <w:lang w:val="sr-Cyrl-CS"/>
        </w:rPr>
      </w:pPr>
      <w:r>
        <w:rPr>
          <w:b/>
          <w:sz w:val="22"/>
          <w:szCs w:val="22"/>
          <w:lang w:val="en-GB"/>
        </w:rPr>
        <w:t xml:space="preserve">Author's Statement </w:t>
      </w:r>
    </w:p>
    <w:p w:rsidR="0026675E" w:rsidRPr="006E4C52" w:rsidRDefault="0026675E" w:rsidP="0026675E">
      <w:pPr>
        <w:rPr>
          <w:b/>
          <w:sz w:val="22"/>
          <w:szCs w:val="22"/>
          <w:lang w:val="sr-Cyrl-CS"/>
        </w:rPr>
      </w:pPr>
    </w:p>
    <w:p w:rsidR="0026675E" w:rsidRPr="006E4C52" w:rsidRDefault="0026675E" w:rsidP="0026675E">
      <w:pPr>
        <w:jc w:val="center"/>
        <w:rPr>
          <w:b/>
          <w:sz w:val="22"/>
          <w:szCs w:val="22"/>
          <w:lang w:val="sr-Cyrl-CS"/>
        </w:rPr>
      </w:pPr>
    </w:p>
    <w:p w:rsidR="0026675E" w:rsidRPr="006E4C52" w:rsidRDefault="0026675E" w:rsidP="0026675E">
      <w:pPr>
        <w:autoSpaceDE w:val="0"/>
        <w:autoSpaceDN w:val="0"/>
        <w:adjustRightInd w:val="0"/>
        <w:jc w:val="both"/>
        <w:rPr>
          <w:sz w:val="22"/>
          <w:szCs w:val="22"/>
        </w:rPr>
      </w:pPr>
      <w:r>
        <w:rPr>
          <w:sz w:val="22"/>
          <w:szCs w:val="22"/>
          <w:lang w:val="en-GB"/>
        </w:rPr>
        <w:t>I hereby truthfully warrant that</w:t>
      </w:r>
      <w:r w:rsidRPr="006E4C52">
        <w:rPr>
          <w:sz w:val="22"/>
          <w:szCs w:val="22"/>
        </w:rPr>
        <w:t>:</w:t>
      </w:r>
      <w:r w:rsidRPr="006E4C52">
        <w:rPr>
          <w:sz w:val="22"/>
          <w:szCs w:val="22"/>
          <w:lang w:val="sr-Cyrl-CS"/>
        </w:rPr>
        <w:t xml:space="preserve"> </w:t>
      </w:r>
    </w:p>
    <w:p w:rsidR="0026675E" w:rsidRPr="00AC5734" w:rsidRDefault="0026675E" w:rsidP="0026675E">
      <w:pPr>
        <w:jc w:val="center"/>
        <w:rPr>
          <w:b/>
        </w:rPr>
      </w:pPr>
      <w:r>
        <w:rPr>
          <w:sz w:val="22"/>
          <w:szCs w:val="22"/>
          <w:lang w:val="en-GB"/>
        </w:rPr>
        <w:t>a</w:t>
      </w:r>
      <w:r w:rsidRPr="006E4C52">
        <w:rPr>
          <w:sz w:val="22"/>
          <w:szCs w:val="22"/>
          <w:lang w:val="sr-Cyrl-CS"/>
        </w:rPr>
        <w:t xml:space="preserve">) </w:t>
      </w:r>
      <w:r>
        <w:rPr>
          <w:sz w:val="22"/>
          <w:szCs w:val="22"/>
          <w:lang w:val="en-GB"/>
        </w:rPr>
        <w:t>the article titled "</w:t>
      </w:r>
      <w:r>
        <w:rPr>
          <w:sz w:val="22"/>
          <w:szCs w:val="22"/>
        </w:rPr>
        <w:t>___</w:t>
      </w:r>
      <w:r w:rsidRPr="00134998">
        <w:rPr>
          <w:b/>
        </w:rPr>
        <w:t xml:space="preserve"> </w:t>
      </w:r>
      <w:r w:rsidRPr="00134998">
        <w:rPr>
          <w:b/>
          <w:sz w:val="22"/>
        </w:rPr>
        <w:t>THE BACKDOOR POLITICS: PERMITTING INFORMALITY FOR FORMAL DEVELOPMENT IN DEMOCRACIES</w:t>
      </w:r>
    </w:p>
    <w:p w:rsidR="0026675E" w:rsidRPr="006E4C52" w:rsidRDefault="0026675E" w:rsidP="0026675E">
      <w:pPr>
        <w:autoSpaceDE w:val="0"/>
        <w:autoSpaceDN w:val="0"/>
        <w:adjustRightInd w:val="0"/>
        <w:ind w:firstLine="567"/>
        <w:jc w:val="both"/>
        <w:rPr>
          <w:sz w:val="22"/>
          <w:szCs w:val="22"/>
        </w:rPr>
      </w:pPr>
      <w:r>
        <w:rPr>
          <w:sz w:val="22"/>
          <w:szCs w:val="22"/>
        </w:rPr>
        <w:t>____</w:t>
      </w:r>
      <w:r>
        <w:rPr>
          <w:sz w:val="22"/>
          <w:szCs w:val="22"/>
          <w:lang w:val="en-GB"/>
        </w:rPr>
        <w:t>"</w:t>
      </w:r>
      <w:r w:rsidRPr="006E4C52">
        <w:rPr>
          <w:sz w:val="22"/>
          <w:szCs w:val="22"/>
          <w:lang w:val="sr-Cyrl-CS"/>
        </w:rPr>
        <w:t xml:space="preserve">, </w:t>
      </w:r>
      <w:r>
        <w:rPr>
          <w:sz w:val="22"/>
          <w:szCs w:val="22"/>
          <w:lang w:val="en-GB"/>
        </w:rPr>
        <w:t>submitted for publication in the TEME Journal, is the result of my own original research,</w:t>
      </w:r>
      <w:r w:rsidRPr="006E4C52">
        <w:rPr>
          <w:sz w:val="22"/>
          <w:szCs w:val="22"/>
        </w:rPr>
        <w:t xml:space="preserve"> </w:t>
      </w:r>
      <w:r>
        <w:rPr>
          <w:sz w:val="22"/>
          <w:szCs w:val="22"/>
        </w:rPr>
        <w:t>and that I hold the right to publish it;</w:t>
      </w:r>
    </w:p>
    <w:p w:rsidR="0026675E" w:rsidRPr="006E4C52" w:rsidRDefault="0026675E" w:rsidP="0026675E">
      <w:pPr>
        <w:autoSpaceDE w:val="0"/>
        <w:autoSpaceDN w:val="0"/>
        <w:adjustRightInd w:val="0"/>
        <w:ind w:firstLine="567"/>
        <w:jc w:val="both"/>
        <w:rPr>
          <w:sz w:val="22"/>
          <w:szCs w:val="22"/>
        </w:rPr>
      </w:pPr>
      <w:r>
        <w:rPr>
          <w:sz w:val="22"/>
          <w:szCs w:val="22"/>
          <w:lang w:val="en-GB"/>
        </w:rPr>
        <w:t>b</w:t>
      </w:r>
      <w:r w:rsidRPr="006E4C52">
        <w:rPr>
          <w:sz w:val="22"/>
          <w:szCs w:val="22"/>
          <w:lang w:val="sr-Cyrl-CS"/>
        </w:rPr>
        <w:t xml:space="preserve">) </w:t>
      </w:r>
      <w:r>
        <w:rPr>
          <w:sz w:val="22"/>
          <w:szCs w:val="22"/>
          <w:lang w:val="en-GB"/>
        </w:rPr>
        <w:t xml:space="preserve">that it does not infringe any copyright or other third-party proprietary rights; </w:t>
      </w:r>
    </w:p>
    <w:p w:rsidR="0026675E" w:rsidRPr="006E4C52" w:rsidRDefault="0026675E" w:rsidP="0026675E">
      <w:pPr>
        <w:autoSpaceDE w:val="0"/>
        <w:autoSpaceDN w:val="0"/>
        <w:adjustRightInd w:val="0"/>
        <w:ind w:firstLine="567"/>
        <w:jc w:val="both"/>
        <w:rPr>
          <w:sz w:val="22"/>
          <w:szCs w:val="22"/>
        </w:rPr>
      </w:pPr>
      <w:r>
        <w:rPr>
          <w:sz w:val="22"/>
          <w:szCs w:val="22"/>
          <w:lang w:val="en-GB"/>
        </w:rPr>
        <w:t>c</w:t>
      </w:r>
      <w:r w:rsidRPr="006E4C52">
        <w:rPr>
          <w:sz w:val="22"/>
          <w:szCs w:val="22"/>
          <w:lang w:val="sr-Cyrl-CS"/>
        </w:rPr>
        <w:t xml:space="preserve">) </w:t>
      </w:r>
      <w:r>
        <w:rPr>
          <w:sz w:val="22"/>
          <w:szCs w:val="22"/>
          <w:lang w:val="en-GB"/>
        </w:rPr>
        <w:t xml:space="preserve">that it complies with the standards of scientific methodology with respect to quoting, citing and referencing others' work; </w:t>
      </w:r>
    </w:p>
    <w:p w:rsidR="0026675E" w:rsidRPr="006E4C52" w:rsidRDefault="0026675E" w:rsidP="0026675E">
      <w:pPr>
        <w:autoSpaceDE w:val="0"/>
        <w:autoSpaceDN w:val="0"/>
        <w:adjustRightInd w:val="0"/>
        <w:ind w:firstLine="567"/>
        <w:jc w:val="both"/>
        <w:rPr>
          <w:sz w:val="22"/>
          <w:szCs w:val="22"/>
        </w:rPr>
      </w:pPr>
      <w:r>
        <w:rPr>
          <w:sz w:val="22"/>
          <w:szCs w:val="22"/>
          <w:lang w:val="en-GB"/>
        </w:rPr>
        <w:t>d</w:t>
      </w:r>
      <w:r w:rsidRPr="006E4C52">
        <w:rPr>
          <w:sz w:val="22"/>
          <w:szCs w:val="22"/>
          <w:lang w:val="sr-Cyrl-CS"/>
        </w:rPr>
        <w:t xml:space="preserve">) </w:t>
      </w:r>
      <w:r>
        <w:rPr>
          <w:sz w:val="22"/>
          <w:szCs w:val="22"/>
          <w:lang w:val="en-GB"/>
        </w:rPr>
        <w:t xml:space="preserve">that it has not been published elsewhere, under this or any other title; </w:t>
      </w:r>
    </w:p>
    <w:p w:rsidR="0026675E" w:rsidRDefault="0026675E" w:rsidP="0026675E">
      <w:pPr>
        <w:autoSpaceDE w:val="0"/>
        <w:autoSpaceDN w:val="0"/>
        <w:adjustRightInd w:val="0"/>
        <w:ind w:firstLine="567"/>
        <w:jc w:val="both"/>
        <w:rPr>
          <w:sz w:val="22"/>
          <w:szCs w:val="22"/>
          <w:lang w:val="sr-Cyrl-CS"/>
        </w:rPr>
      </w:pPr>
      <w:r>
        <w:rPr>
          <w:sz w:val="22"/>
          <w:szCs w:val="22"/>
          <w:lang w:val="en-GB"/>
        </w:rPr>
        <w:t>e</w:t>
      </w:r>
      <w:r w:rsidRPr="006E4C52">
        <w:rPr>
          <w:sz w:val="22"/>
          <w:szCs w:val="22"/>
          <w:lang w:val="sr-Cyrl-CS"/>
        </w:rPr>
        <w:t xml:space="preserve">) </w:t>
      </w:r>
      <w:r>
        <w:rPr>
          <w:sz w:val="22"/>
          <w:szCs w:val="22"/>
          <w:lang w:val="en-GB"/>
        </w:rPr>
        <w:t xml:space="preserve">that it has not been submitted for publication elsewhere, under this or any other title, and that it will not be submitted for publication elsewhere, in Serbia or abroad, until the author has been informed by the Editorial board of the Journal whether the article has been accepted for publication or not; </w:t>
      </w:r>
    </w:p>
    <w:p w:rsidR="0026675E" w:rsidRPr="005C0C88" w:rsidRDefault="0026675E" w:rsidP="0026675E">
      <w:pPr>
        <w:autoSpaceDE w:val="0"/>
        <w:autoSpaceDN w:val="0"/>
        <w:adjustRightInd w:val="0"/>
        <w:ind w:firstLine="567"/>
        <w:jc w:val="both"/>
        <w:rPr>
          <w:sz w:val="22"/>
          <w:szCs w:val="22"/>
          <w:lang w:val="sr-Cyrl-CS"/>
        </w:rPr>
      </w:pPr>
      <w:r>
        <w:rPr>
          <w:sz w:val="22"/>
          <w:szCs w:val="22"/>
          <w:lang w:val="en-GB"/>
        </w:rPr>
        <w:t>f)</w:t>
      </w:r>
      <w:r>
        <w:rPr>
          <w:sz w:val="22"/>
          <w:szCs w:val="22"/>
          <w:lang w:val="sr-Cyrl-CS"/>
        </w:rPr>
        <w:t xml:space="preserve"> </w:t>
      </w:r>
      <w:r>
        <w:rPr>
          <w:sz w:val="22"/>
          <w:szCs w:val="22"/>
          <w:lang w:val="en-GB"/>
        </w:rPr>
        <w:t xml:space="preserve">that, after this paper has been published in TEME, if the same paper is re-printed in any other journal, in Serbia or abroad, the information about the publication of the paper in TEME will be given in a footnote, and the Editorial board of TEME notified about that. </w:t>
      </w:r>
    </w:p>
    <w:p w:rsidR="0026675E" w:rsidRPr="005C0C88" w:rsidRDefault="0026675E" w:rsidP="0026675E">
      <w:pPr>
        <w:jc w:val="both"/>
        <w:rPr>
          <w:sz w:val="22"/>
          <w:szCs w:val="22"/>
          <w:lang w:val="sr-Cyrl-CS"/>
        </w:rPr>
      </w:pPr>
    </w:p>
    <w:p w:rsidR="0026675E" w:rsidRDefault="0026675E" w:rsidP="0026675E">
      <w:pPr>
        <w:jc w:val="both"/>
        <w:rPr>
          <w:sz w:val="22"/>
          <w:szCs w:val="22"/>
          <w:lang w:val="sr-Cyrl-CS"/>
        </w:rPr>
      </w:pPr>
    </w:p>
    <w:tbl>
      <w:tblPr>
        <w:tblW w:w="0" w:type="auto"/>
        <w:tblBorders>
          <w:insideH w:val="single" w:sz="4" w:space="0" w:color="000000"/>
        </w:tblBorders>
        <w:tblLook w:val="04A0"/>
      </w:tblPr>
      <w:tblGrid>
        <w:gridCol w:w="3793"/>
        <w:gridCol w:w="3793"/>
      </w:tblGrid>
      <w:tr w:rsidR="0026675E" w:rsidRPr="00223D4B" w:rsidTr="00C370FB">
        <w:tc>
          <w:tcPr>
            <w:tcW w:w="3793" w:type="dxa"/>
          </w:tcPr>
          <w:p w:rsidR="0026675E" w:rsidRPr="00223D4B" w:rsidRDefault="0026675E" w:rsidP="00C370FB">
            <w:pPr>
              <w:jc w:val="both"/>
            </w:pPr>
            <w:r>
              <w:rPr>
                <w:sz w:val="22"/>
                <w:szCs w:val="22"/>
                <w:lang w:val="en-GB"/>
              </w:rPr>
              <w:t xml:space="preserve">In </w:t>
            </w:r>
            <w:r w:rsidRPr="00223D4B">
              <w:rPr>
                <w:sz w:val="22"/>
                <w:szCs w:val="22"/>
                <w:lang w:val="sr-Cyrl-CS"/>
              </w:rPr>
              <w:t>____________________</w:t>
            </w:r>
            <w:r>
              <w:rPr>
                <w:sz w:val="22"/>
                <w:szCs w:val="22"/>
                <w:lang w:val="en-GB"/>
              </w:rPr>
              <w:t>_</w:t>
            </w:r>
            <w:r w:rsidRPr="00223D4B">
              <w:rPr>
                <w:sz w:val="22"/>
                <w:szCs w:val="22"/>
                <w:lang w:val="sr-Cyrl-CS"/>
              </w:rPr>
              <w:t xml:space="preserve"> </w:t>
            </w:r>
            <w:r w:rsidRPr="00223D4B">
              <w:rPr>
                <w:sz w:val="22"/>
                <w:szCs w:val="22"/>
                <w:lang w:val="en-US"/>
              </w:rPr>
              <w:tab/>
            </w:r>
            <w:r w:rsidRPr="00223D4B">
              <w:rPr>
                <w:sz w:val="22"/>
                <w:szCs w:val="22"/>
                <w:lang w:val="en-US"/>
              </w:rPr>
              <w:tab/>
            </w:r>
            <w:r w:rsidRPr="00223D4B">
              <w:rPr>
                <w:sz w:val="22"/>
                <w:szCs w:val="22"/>
                <w:lang w:val="en-US"/>
              </w:rPr>
              <w:tab/>
            </w:r>
            <w:r w:rsidRPr="00223D4B">
              <w:rPr>
                <w:sz w:val="22"/>
                <w:szCs w:val="22"/>
                <w:lang w:val="en-US"/>
              </w:rPr>
              <w:tab/>
            </w:r>
          </w:p>
          <w:p w:rsidR="0026675E" w:rsidRPr="00223D4B" w:rsidRDefault="0026675E" w:rsidP="00C370FB">
            <w:pPr>
              <w:jc w:val="both"/>
              <w:rPr>
                <w:lang w:val="sr-Cyrl-CS"/>
              </w:rPr>
            </w:pPr>
            <w:r>
              <w:rPr>
                <w:sz w:val="22"/>
                <w:szCs w:val="22"/>
                <w:lang w:val="en-GB"/>
              </w:rPr>
              <w:t>Date: _____</w:t>
            </w:r>
            <w:r w:rsidRPr="00223D4B">
              <w:rPr>
                <w:sz w:val="22"/>
                <w:szCs w:val="22"/>
                <w:lang w:val="sr-Cyrl-CS"/>
              </w:rPr>
              <w:t>_____________</w:t>
            </w:r>
          </w:p>
        </w:tc>
        <w:tc>
          <w:tcPr>
            <w:tcW w:w="3793" w:type="dxa"/>
          </w:tcPr>
          <w:p w:rsidR="0026675E" w:rsidRPr="00925068" w:rsidRDefault="0026675E" w:rsidP="00C370FB">
            <w:pPr>
              <w:jc w:val="center"/>
              <w:rPr>
                <w:lang w:val="en-GB"/>
              </w:rPr>
            </w:pPr>
            <w:r>
              <w:rPr>
                <w:sz w:val="22"/>
                <w:szCs w:val="22"/>
                <w:lang w:val="en-GB"/>
              </w:rPr>
              <w:t>Author(s)</w:t>
            </w:r>
          </w:p>
          <w:p w:rsidR="0026675E" w:rsidRPr="00223D4B" w:rsidRDefault="0026675E" w:rsidP="00C370FB">
            <w:pPr>
              <w:jc w:val="center"/>
              <w:rPr>
                <w:lang w:val="sr-Cyrl-CS"/>
              </w:rPr>
            </w:pPr>
            <w:r w:rsidRPr="00223D4B">
              <w:rPr>
                <w:sz w:val="22"/>
                <w:szCs w:val="22"/>
                <w:lang w:val="sr-Cyrl-CS"/>
              </w:rPr>
              <w:t>_______________________________</w:t>
            </w:r>
          </w:p>
          <w:p w:rsidR="0026675E" w:rsidRDefault="0026675E" w:rsidP="00C370FB">
            <w:pPr>
              <w:jc w:val="center"/>
              <w:rPr>
                <w:lang w:val="sr-Cyrl-CS"/>
              </w:rPr>
            </w:pPr>
            <w:r>
              <w:rPr>
                <w:sz w:val="22"/>
                <w:szCs w:val="22"/>
                <w:lang w:val="sr-Cyrl-CS"/>
              </w:rPr>
              <w:t>_______________________________</w:t>
            </w:r>
          </w:p>
          <w:p w:rsidR="0026675E" w:rsidRPr="00223D4B" w:rsidRDefault="0026675E" w:rsidP="00C370FB">
            <w:pPr>
              <w:jc w:val="center"/>
              <w:rPr>
                <w:lang w:val="sr-Cyrl-CS"/>
              </w:rPr>
            </w:pPr>
            <w:r>
              <w:rPr>
                <w:sz w:val="22"/>
                <w:szCs w:val="22"/>
                <w:lang w:val="sr-Cyrl-CS"/>
              </w:rPr>
              <w:t>_______________________________</w:t>
            </w:r>
          </w:p>
        </w:tc>
      </w:tr>
    </w:tbl>
    <w:p w:rsidR="0026675E" w:rsidRPr="006E4C52" w:rsidRDefault="0026675E" w:rsidP="0026675E">
      <w:pPr>
        <w:jc w:val="both"/>
        <w:rPr>
          <w:sz w:val="22"/>
          <w:szCs w:val="22"/>
          <w:lang w:val="sr-Cyrl-CS"/>
        </w:rPr>
      </w:pPr>
    </w:p>
    <w:p w:rsidR="0026675E" w:rsidRPr="006E4C52" w:rsidRDefault="0026675E" w:rsidP="0026675E">
      <w:pPr>
        <w:jc w:val="both"/>
        <w:rPr>
          <w:b/>
          <w:sz w:val="22"/>
          <w:szCs w:val="22"/>
          <w:lang w:val="sr-Cyrl-CS"/>
        </w:rPr>
      </w:pPr>
      <w:r>
        <w:rPr>
          <w:b/>
          <w:sz w:val="22"/>
          <w:szCs w:val="22"/>
          <w:lang w:val="en-GB"/>
        </w:rPr>
        <w:t>Contact information</w:t>
      </w:r>
      <w:r w:rsidRPr="006E4C52">
        <w:rPr>
          <w:b/>
          <w:sz w:val="22"/>
          <w:szCs w:val="22"/>
          <w:lang w:val="sr-Cyrl-CS"/>
        </w:rPr>
        <w:t>:</w:t>
      </w:r>
    </w:p>
    <w:p w:rsidR="0026675E" w:rsidRPr="00134998" w:rsidRDefault="0026675E" w:rsidP="0026675E">
      <w:pPr>
        <w:jc w:val="both"/>
        <w:rPr>
          <w:sz w:val="22"/>
          <w:szCs w:val="22"/>
          <w:lang w:val="en-US"/>
        </w:rPr>
      </w:pPr>
      <w:r>
        <w:rPr>
          <w:sz w:val="22"/>
          <w:szCs w:val="22"/>
          <w:lang w:val="en-GB"/>
        </w:rPr>
        <w:t>Name, Surname</w:t>
      </w:r>
      <w:r>
        <w:rPr>
          <w:sz w:val="22"/>
          <w:szCs w:val="22"/>
          <w:lang w:val="sr-Cyrl-CS"/>
        </w:rPr>
        <w:t>:</w:t>
      </w:r>
      <w:r>
        <w:rPr>
          <w:sz w:val="22"/>
          <w:szCs w:val="22"/>
          <w:lang w:val="en-US"/>
        </w:rPr>
        <w:t xml:space="preserve"> Aluko Opeyemi Idowu</w:t>
      </w:r>
    </w:p>
    <w:p w:rsidR="0026675E" w:rsidRPr="00134998" w:rsidRDefault="0026675E" w:rsidP="0026675E">
      <w:pPr>
        <w:jc w:val="both"/>
        <w:rPr>
          <w:sz w:val="22"/>
          <w:szCs w:val="22"/>
          <w:lang w:val="en-US"/>
        </w:rPr>
      </w:pPr>
      <w:r>
        <w:rPr>
          <w:sz w:val="22"/>
          <w:szCs w:val="22"/>
          <w:lang w:val="en-GB"/>
        </w:rPr>
        <w:t>Affiliation</w:t>
      </w:r>
      <w:r w:rsidRPr="006E4C52">
        <w:rPr>
          <w:sz w:val="22"/>
          <w:szCs w:val="22"/>
          <w:lang w:val="sr-Cyrl-CS"/>
        </w:rPr>
        <w:t>:</w:t>
      </w:r>
      <w:r>
        <w:rPr>
          <w:sz w:val="22"/>
          <w:szCs w:val="22"/>
          <w:lang w:val="sr-Cyrl-CS"/>
        </w:rPr>
        <w:t xml:space="preserve"> </w:t>
      </w:r>
      <w:r>
        <w:rPr>
          <w:sz w:val="22"/>
          <w:szCs w:val="22"/>
          <w:lang w:val="en-US"/>
        </w:rPr>
        <w:t>Political Science Department University of Ilorin</w:t>
      </w:r>
    </w:p>
    <w:p w:rsidR="0026675E" w:rsidRPr="00134998" w:rsidRDefault="0026675E" w:rsidP="0026675E">
      <w:pPr>
        <w:jc w:val="both"/>
        <w:rPr>
          <w:sz w:val="22"/>
          <w:szCs w:val="22"/>
          <w:lang w:val="en-US"/>
        </w:rPr>
      </w:pPr>
      <w:r>
        <w:rPr>
          <w:sz w:val="22"/>
          <w:szCs w:val="22"/>
          <w:lang w:val="en-GB"/>
        </w:rPr>
        <w:t>Address</w:t>
      </w:r>
      <w:r w:rsidRPr="006E4C52">
        <w:rPr>
          <w:sz w:val="22"/>
          <w:szCs w:val="22"/>
          <w:lang w:val="sr-Cyrl-CS"/>
        </w:rPr>
        <w:t xml:space="preserve">: </w:t>
      </w:r>
      <w:r>
        <w:rPr>
          <w:sz w:val="22"/>
          <w:szCs w:val="22"/>
          <w:lang w:val="en-US"/>
        </w:rPr>
        <w:t>Political Science Department University of Ilorin PMB 1515</w:t>
      </w:r>
    </w:p>
    <w:p w:rsidR="0026675E" w:rsidRPr="00134998" w:rsidRDefault="0026675E" w:rsidP="0026675E">
      <w:pPr>
        <w:jc w:val="both"/>
        <w:rPr>
          <w:sz w:val="22"/>
          <w:szCs w:val="22"/>
          <w:lang w:val="en-US"/>
        </w:rPr>
      </w:pPr>
      <w:r>
        <w:rPr>
          <w:sz w:val="22"/>
          <w:szCs w:val="22"/>
          <w:lang w:val="en-GB"/>
        </w:rPr>
        <w:t>Phone</w:t>
      </w:r>
      <w:r w:rsidRPr="006E4C52">
        <w:rPr>
          <w:sz w:val="22"/>
          <w:szCs w:val="22"/>
          <w:lang w:val="sr-Cyrl-CS"/>
        </w:rPr>
        <w:t xml:space="preserve">: </w:t>
      </w:r>
      <w:r>
        <w:rPr>
          <w:sz w:val="22"/>
          <w:szCs w:val="22"/>
          <w:lang w:val="en-US"/>
        </w:rPr>
        <w:t xml:space="preserve"> +2347035391946</w:t>
      </w:r>
    </w:p>
    <w:p w:rsidR="0026675E" w:rsidRDefault="0026675E" w:rsidP="0026675E">
      <w:pPr>
        <w:jc w:val="both"/>
        <w:rPr>
          <w:sz w:val="22"/>
          <w:szCs w:val="22"/>
          <w:lang w:val="en-US"/>
        </w:rPr>
      </w:pPr>
      <w:r>
        <w:rPr>
          <w:sz w:val="22"/>
          <w:szCs w:val="22"/>
          <w:lang w:val="en-US"/>
        </w:rPr>
        <w:t>e-mail</w:t>
      </w:r>
      <w:r w:rsidRPr="006E4C52">
        <w:rPr>
          <w:sz w:val="22"/>
          <w:szCs w:val="22"/>
          <w:lang w:val="sr-Cyrl-CS"/>
        </w:rPr>
        <w:t xml:space="preserve">: </w:t>
      </w:r>
      <w:hyperlink r:id="rId4" w:history="1">
        <w:r w:rsidRPr="00701389">
          <w:rPr>
            <w:rStyle w:val="Hyperlink"/>
            <w:sz w:val="22"/>
            <w:szCs w:val="22"/>
            <w:lang w:val="en-US"/>
          </w:rPr>
          <w:t>opealukoheavenprogress@gmail.com</w:t>
        </w:r>
      </w:hyperlink>
    </w:p>
    <w:p w:rsidR="0026675E" w:rsidRPr="00134998" w:rsidRDefault="0026675E" w:rsidP="0026675E">
      <w:pPr>
        <w:jc w:val="both"/>
        <w:rPr>
          <w:sz w:val="22"/>
          <w:szCs w:val="22"/>
          <w:lang w:val="en-US"/>
        </w:rPr>
      </w:pPr>
      <w:r>
        <w:rPr>
          <w:noProof/>
          <w:sz w:val="22"/>
          <w:szCs w:val="22"/>
          <w:lang w:val="en-US" w:eastAsia="en-US"/>
        </w:rPr>
        <w:drawing>
          <wp:inline distT="0" distB="0" distL="0" distR="0">
            <wp:extent cx="1809750" cy="457200"/>
            <wp:effectExtent l="19050" t="0" r="0" b="0"/>
            <wp:docPr id="1" name="Picture 1" descr="C:\Users\USER\Pictures\Images\Photo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ages\Photo0303.jpg"/>
                    <pic:cNvPicPr>
                      <a:picLocks noChangeAspect="1" noChangeArrowheads="1"/>
                    </pic:cNvPicPr>
                  </pic:nvPicPr>
                  <pic:blipFill>
                    <a:blip r:embed="rId5"/>
                    <a:srcRect/>
                    <a:stretch>
                      <a:fillRect/>
                    </a:stretch>
                  </pic:blipFill>
                  <pic:spPr bwMode="auto">
                    <a:xfrm>
                      <a:off x="0" y="0"/>
                      <a:ext cx="1809750" cy="457200"/>
                    </a:xfrm>
                    <a:prstGeom prst="rect">
                      <a:avLst/>
                    </a:prstGeom>
                    <a:noFill/>
                    <a:ln w="9525">
                      <a:noFill/>
                      <a:miter lim="800000"/>
                      <a:headEnd/>
                      <a:tailEnd/>
                    </a:ln>
                  </pic:spPr>
                </pic:pic>
              </a:graphicData>
            </a:graphic>
          </wp:inline>
        </w:drawing>
      </w:r>
    </w:p>
    <w:p w:rsidR="0026675E" w:rsidRPr="006E4C52" w:rsidRDefault="0026675E" w:rsidP="0026675E">
      <w:pPr>
        <w:jc w:val="both"/>
        <w:rPr>
          <w:sz w:val="22"/>
          <w:szCs w:val="22"/>
          <w:lang w:val="sr-Cyrl-CS"/>
        </w:rPr>
      </w:pPr>
    </w:p>
    <w:p w:rsidR="0026675E" w:rsidRPr="00FF3F42" w:rsidRDefault="0026675E" w:rsidP="0026675E">
      <w:pPr>
        <w:jc w:val="both"/>
        <w:rPr>
          <w:b/>
          <w:spacing w:val="-2"/>
          <w:sz w:val="22"/>
          <w:szCs w:val="22"/>
          <w:lang w:val="en-US"/>
        </w:rPr>
      </w:pPr>
      <w:r>
        <w:rPr>
          <w:b/>
          <w:sz w:val="22"/>
          <w:szCs w:val="22"/>
          <w:lang w:val="en-GB"/>
        </w:rPr>
        <w:t xml:space="preserve">A scanned document (in the pdf format), containing the printed and signed copy of this Author's statement should be </w:t>
      </w:r>
      <w:r>
        <w:rPr>
          <w:b/>
          <w:sz w:val="22"/>
          <w:szCs w:val="22"/>
          <w:lang w:val="en-US"/>
        </w:rPr>
        <w:t>upload</w:t>
      </w:r>
      <w:r w:rsidRPr="00134C6A">
        <w:rPr>
          <w:b/>
          <w:sz w:val="22"/>
          <w:szCs w:val="22"/>
          <w:lang w:val="en-GB"/>
        </w:rPr>
        <w:t xml:space="preserve"> </w:t>
      </w:r>
      <w:r>
        <w:rPr>
          <w:b/>
          <w:sz w:val="22"/>
          <w:szCs w:val="22"/>
          <w:lang w:val="en-GB"/>
        </w:rPr>
        <w:t>as supplementary file, together with the paper submitted for publication.</w:t>
      </w:r>
      <w:r>
        <w:rPr>
          <w:b/>
          <w:spacing w:val="-2"/>
          <w:sz w:val="22"/>
          <w:szCs w:val="22"/>
          <w:lang w:val="en-US"/>
        </w:rPr>
        <w:t xml:space="preserve"> </w:t>
      </w:r>
    </w:p>
    <w:p w:rsidR="008E0F44" w:rsidRDefault="008E0F44"/>
    <w:p w:rsidR="0026675E" w:rsidRDefault="0026675E"/>
    <w:p w:rsidR="00555D75" w:rsidRDefault="00555D75"/>
    <w:p w:rsidR="00555D75" w:rsidRDefault="00555D75"/>
    <w:p w:rsidR="00555D75" w:rsidRDefault="00555D75"/>
    <w:p w:rsidR="0026675E" w:rsidRDefault="0026675E"/>
    <w:p w:rsidR="0026675E" w:rsidRDefault="0026675E"/>
    <w:p w:rsidR="0026675E" w:rsidRPr="00AC5734" w:rsidRDefault="0026675E" w:rsidP="0026675E">
      <w:pPr>
        <w:jc w:val="center"/>
        <w:rPr>
          <w:b/>
        </w:rPr>
      </w:pPr>
      <w:r w:rsidRPr="00AC5734">
        <w:rPr>
          <w:b/>
        </w:rPr>
        <w:lastRenderedPageBreak/>
        <w:t>THE BACKDOOR POLITICS: PERMITTING INFORMALIT</w:t>
      </w:r>
      <w:r>
        <w:rPr>
          <w:b/>
        </w:rPr>
        <w:t>Y</w:t>
      </w:r>
      <w:r w:rsidRPr="00AC5734">
        <w:rPr>
          <w:b/>
        </w:rPr>
        <w:t xml:space="preserve"> FOR FORMAL DEVELOPMENT IN DEMOCRACIES</w:t>
      </w:r>
    </w:p>
    <w:p w:rsidR="00555D75" w:rsidRDefault="00555D75" w:rsidP="0026675E">
      <w:pPr>
        <w:jc w:val="center"/>
        <w:rPr>
          <w:b/>
        </w:rPr>
      </w:pPr>
    </w:p>
    <w:p w:rsidR="00555D75" w:rsidRDefault="00555D75" w:rsidP="0026675E">
      <w:pPr>
        <w:jc w:val="center"/>
        <w:rPr>
          <w:b/>
        </w:rPr>
      </w:pPr>
    </w:p>
    <w:p w:rsidR="00555D75" w:rsidRDefault="00555D75" w:rsidP="0026675E">
      <w:pPr>
        <w:jc w:val="center"/>
        <w:rPr>
          <w:b/>
        </w:rPr>
      </w:pPr>
    </w:p>
    <w:p w:rsidR="0026675E" w:rsidRPr="00AC5734" w:rsidRDefault="0026675E" w:rsidP="0026675E">
      <w:pPr>
        <w:jc w:val="center"/>
        <w:rPr>
          <w:b/>
        </w:rPr>
      </w:pPr>
      <w:r w:rsidRPr="00AC5734">
        <w:rPr>
          <w:b/>
        </w:rPr>
        <w:t>ABSTRACT</w:t>
      </w:r>
    </w:p>
    <w:p w:rsidR="0026675E" w:rsidRPr="00AC5734" w:rsidRDefault="0026675E" w:rsidP="0026675E">
      <w:pPr>
        <w:jc w:val="both"/>
        <w:rPr>
          <w:i/>
        </w:rPr>
      </w:pPr>
      <w:r w:rsidRPr="00AC5734">
        <w:rPr>
          <w:i/>
        </w:rPr>
        <w:t>Informalities are the other options that make</w:t>
      </w:r>
      <w:r>
        <w:rPr>
          <w:i/>
        </w:rPr>
        <w:t xml:space="preserve"> things happen in governance</w:t>
      </w:r>
      <w:r w:rsidRPr="00AC5734">
        <w:rPr>
          <w:i/>
        </w:rPr>
        <w:t xml:space="preserve"> and administrations apart from the order of the day. This is termed backdoor politics in this paper. Backdoor politics are measures through which policies are initiated, analysed and implemented in most polities of the world through the influence of other</w:t>
      </w:r>
      <w:r>
        <w:rPr>
          <w:i/>
        </w:rPr>
        <w:t xml:space="preserve"> options – </w:t>
      </w:r>
      <w:r w:rsidRPr="00AC5734">
        <w:rPr>
          <w:i/>
        </w:rPr>
        <w:t xml:space="preserve">informal means. This is so because humans are social beings who are rational and it is difficult to separate the human emotion from outcome of policy decisions. Around the world, communities devise ways to govern the commons to assure its survival for their needs and future generations. The objective of this paper is to determine the extent to which backdoor politics had affected policies and development in Africa. Afrobarometer database assessing </w:t>
      </w:r>
      <w:r>
        <w:rPr>
          <w:i/>
        </w:rPr>
        <w:t>three</w:t>
      </w:r>
      <w:r w:rsidRPr="00AC5734">
        <w:rPr>
          <w:i/>
        </w:rPr>
        <w:t xml:space="preserve"> countries in Africa from east, west and southern Africa which include; Kenya, Nigeria and South Africa respectively are systematically analysed. </w:t>
      </w:r>
      <w:r>
        <w:rPr>
          <w:i/>
        </w:rPr>
        <w:t>The paper considered the question of what is the extent of</w:t>
      </w:r>
      <w:r w:rsidRPr="00AC5734">
        <w:rPr>
          <w:i/>
        </w:rPr>
        <w:t xml:space="preserve"> backdoor politics </w:t>
      </w:r>
      <w:r>
        <w:rPr>
          <w:i/>
        </w:rPr>
        <w:t>in the governance in Africa. This is considered by analysing the effects of people or officials c</w:t>
      </w:r>
      <w:r w:rsidRPr="00AC5734">
        <w:rPr>
          <w:i/>
        </w:rPr>
        <w:t>ontact with</w:t>
      </w:r>
      <w:r>
        <w:rPr>
          <w:i/>
        </w:rPr>
        <w:t xml:space="preserve"> government court or tribunal, level of e</w:t>
      </w:r>
      <w:r w:rsidRPr="00AC5734">
        <w:rPr>
          <w:i/>
        </w:rPr>
        <w:t>thni</w:t>
      </w:r>
      <w:r>
        <w:rPr>
          <w:i/>
        </w:rPr>
        <w:t>c group´s political influence, h</w:t>
      </w:r>
      <w:r w:rsidRPr="00AC5734">
        <w:rPr>
          <w:i/>
        </w:rPr>
        <w:t xml:space="preserve">ow often officials go </w:t>
      </w:r>
      <w:r>
        <w:rPr>
          <w:i/>
        </w:rPr>
        <w:t>unpunished, level of i</w:t>
      </w:r>
      <w:r w:rsidRPr="00AC5734">
        <w:rPr>
          <w:i/>
        </w:rPr>
        <w:t>nfluence of civic organizations and Non Governmental Organizations (NGOs)</w:t>
      </w:r>
      <w:r>
        <w:rPr>
          <w:i/>
        </w:rPr>
        <w:t>, level of i</w:t>
      </w:r>
      <w:r w:rsidRPr="00AC5734">
        <w:rPr>
          <w:i/>
        </w:rPr>
        <w:t>nfluence of international businesses and</w:t>
      </w:r>
      <w:r>
        <w:rPr>
          <w:i/>
        </w:rPr>
        <w:t xml:space="preserve"> investors, i</w:t>
      </w:r>
      <w:r w:rsidRPr="00AC5734">
        <w:rPr>
          <w:i/>
        </w:rPr>
        <w:t>nfluence o</w:t>
      </w:r>
      <w:r>
        <w:rPr>
          <w:i/>
        </w:rPr>
        <w:t>f i</w:t>
      </w:r>
      <w:r w:rsidRPr="00AC5734">
        <w:rPr>
          <w:i/>
        </w:rPr>
        <w:t>nternational donors and NGOs and extent of traditional leaders influence on governing local community. Conclusions and recommendations will be premise on allowing natural course</w:t>
      </w:r>
      <w:r>
        <w:rPr>
          <w:i/>
        </w:rPr>
        <w:t>s of policy action</w:t>
      </w:r>
      <w:r w:rsidRPr="00AC5734">
        <w:rPr>
          <w:i/>
        </w:rPr>
        <w:t xml:space="preserve"> to take effect when issues are link with common man. </w:t>
      </w:r>
    </w:p>
    <w:p w:rsidR="0026675E" w:rsidRPr="00AC5734" w:rsidRDefault="0026675E" w:rsidP="0026675E">
      <w:pPr>
        <w:jc w:val="both"/>
      </w:pPr>
      <w:r w:rsidRPr="00AC5734">
        <w:t>Key words: Informality; Policy, Backdoor politics, Common man, Government</w:t>
      </w:r>
    </w:p>
    <w:p w:rsidR="0026675E" w:rsidRDefault="0026675E" w:rsidP="0026675E">
      <w:pPr>
        <w:tabs>
          <w:tab w:val="left" w:pos="8058"/>
        </w:tabs>
        <w:rPr>
          <w:b/>
        </w:rPr>
      </w:pPr>
      <w:r>
        <w:rPr>
          <w:b/>
        </w:rPr>
        <w:tab/>
      </w:r>
    </w:p>
    <w:p w:rsidR="0026675E" w:rsidRDefault="0026675E" w:rsidP="0026675E">
      <w:pPr>
        <w:jc w:val="center"/>
        <w:rPr>
          <w:b/>
        </w:rPr>
      </w:pPr>
    </w:p>
    <w:p w:rsidR="0026675E" w:rsidRDefault="0026675E" w:rsidP="0026675E">
      <w:pPr>
        <w:jc w:val="center"/>
        <w:rPr>
          <w:b/>
        </w:rPr>
      </w:pPr>
    </w:p>
    <w:p w:rsidR="0026675E" w:rsidRDefault="0026675E" w:rsidP="0026675E">
      <w:pPr>
        <w:jc w:val="center"/>
        <w:rPr>
          <w:b/>
        </w:rPr>
      </w:pPr>
    </w:p>
    <w:p w:rsidR="0026675E" w:rsidRDefault="0026675E" w:rsidP="0026675E">
      <w:pPr>
        <w:jc w:val="center"/>
        <w:rPr>
          <w:b/>
        </w:rPr>
      </w:pPr>
    </w:p>
    <w:p w:rsidR="0026675E" w:rsidRDefault="0026675E" w:rsidP="0026675E">
      <w:pPr>
        <w:jc w:val="center"/>
        <w:rPr>
          <w:b/>
        </w:rPr>
      </w:pPr>
    </w:p>
    <w:p w:rsidR="0026675E" w:rsidRPr="00AC5734" w:rsidRDefault="0026675E" w:rsidP="0026675E">
      <w:pPr>
        <w:jc w:val="center"/>
        <w:rPr>
          <w:b/>
        </w:rPr>
      </w:pPr>
    </w:p>
    <w:p w:rsidR="0026675E" w:rsidRPr="00AC5734" w:rsidRDefault="0026675E" w:rsidP="0026675E">
      <w:pPr>
        <w:jc w:val="center"/>
        <w:rPr>
          <w:b/>
        </w:rPr>
      </w:pPr>
      <w:r w:rsidRPr="00AC5734">
        <w:rPr>
          <w:b/>
        </w:rPr>
        <w:t>INTRODUCTION</w:t>
      </w:r>
    </w:p>
    <w:p w:rsidR="0026675E" w:rsidRPr="00AC5734" w:rsidRDefault="0026675E" w:rsidP="0026675E">
      <w:pPr>
        <w:rPr>
          <w:b/>
        </w:rPr>
      </w:pPr>
    </w:p>
    <w:p w:rsidR="0026675E" w:rsidRPr="00AC5734" w:rsidRDefault="0026675E" w:rsidP="0026675E">
      <w:pPr>
        <w:jc w:val="both"/>
      </w:pPr>
      <w:r w:rsidRPr="00AC5734">
        <w:t>Governments around the world cannot work effectively without human beings involvements in the administrative and technical decision making processes. Humans as rational being are not subjected to absolute constant behaviour over time. Humans are subject to changes in behaviour as condition changes over time. In decision making and general political policy making and analysis, it is not so easy to separate the facts from the values. In most decision making just barely beneath the surface is the prejudice of the policy makers coated in the will and interest of the general public – to ensure the greatest happiness of the greatest number of the people.</w:t>
      </w:r>
    </w:p>
    <w:p w:rsidR="0026675E" w:rsidRPr="00AC5734" w:rsidRDefault="0026675E" w:rsidP="0026675E">
      <w:pPr>
        <w:jc w:val="both"/>
      </w:pPr>
      <w:r w:rsidRPr="00AC5734">
        <w:t xml:space="preserve">The Informalities are the other options that make things such as regular policy making, analysis and implementations work faster in government and administrations apart from the order of the </w:t>
      </w:r>
      <w:r w:rsidRPr="00AC5734">
        <w:lastRenderedPageBreak/>
        <w:t>day regular administrative bureaucracy and rigmarole. The regular administrative bureaucracies in most cases are longer in procedure and tedious in implementation consideration but thorough enough to give the institution credibility. Government</w:t>
      </w:r>
      <w:r>
        <w:t xml:space="preserve"> policies of either foreign policies</w:t>
      </w:r>
      <w:r w:rsidRPr="00AC5734">
        <w:t xml:space="preserve"> or </w:t>
      </w:r>
      <w:r>
        <w:t xml:space="preserve">domestic policies usually take </w:t>
      </w:r>
      <w:r w:rsidRPr="00AC5734">
        <w:t xml:space="preserve">longer period for it to </w:t>
      </w:r>
      <w:r>
        <w:t>be a reality (Aluko 2015)</w:t>
      </w:r>
      <w:r w:rsidRPr="00AC5734">
        <w:t>. These long processes and administrative procedures are in most cases injurious to intergovernmental relations and actions that require a quick action</w:t>
      </w:r>
      <w:r>
        <w:t xml:space="preserve"> (</w:t>
      </w:r>
      <w:r>
        <w:rPr>
          <w:lang w:eastAsia="en-GB"/>
        </w:rPr>
        <w:t xml:space="preserve">Trautman </w:t>
      </w:r>
      <w:r w:rsidRPr="00386D08">
        <w:rPr>
          <w:lang w:eastAsia="en-GB"/>
        </w:rPr>
        <w:t>2016</w:t>
      </w:r>
      <w:r>
        <w:rPr>
          <w:lang w:eastAsia="en-GB"/>
        </w:rPr>
        <w:t>;</w:t>
      </w:r>
      <w:r w:rsidRPr="00375D15">
        <w:rPr>
          <w:szCs w:val="28"/>
        </w:rPr>
        <w:t xml:space="preserve"> </w:t>
      </w:r>
      <w:r w:rsidRPr="00375D15">
        <w:t>Are</w:t>
      </w:r>
      <w:r>
        <w:t xml:space="preserve">mu, Isiaq </w:t>
      </w:r>
      <w:r w:rsidRPr="00375D15">
        <w:t xml:space="preserve">and Aluko </w:t>
      </w:r>
      <w:r>
        <w:t>2016</w:t>
      </w:r>
      <w:r w:rsidRPr="00375D15">
        <w:t>).</w:t>
      </w:r>
      <w:r w:rsidRPr="00AC5734">
        <w:t xml:space="preserve"> This might further lead to administrative loss of focus and target if more of the quick administrative actions are jeopardised by administrative bureaucracy and rigmaroles. Informal administrative procedures are usually resulted to so as to checkmate the impeding loss on the polity at large.</w:t>
      </w:r>
    </w:p>
    <w:p w:rsidR="0026675E" w:rsidRPr="00AC5734" w:rsidRDefault="0026675E" w:rsidP="0026675E">
      <w:pPr>
        <w:jc w:val="both"/>
      </w:pPr>
      <w:r w:rsidRPr="00AC5734">
        <w:t xml:space="preserve">This is termed backdoor politics in this paper. Backdoor politics are measures through which policies are initiated, analysed and implemented in most polities of the world through the influence of other options other than the formal means. Backdoor politics is a common phenomenon among political, social and economic administrators around the world. This politics do facilitate the normal procedures in the administrative processes so as to achieve a quick result </w:t>
      </w:r>
      <w:r>
        <w:t>at a record time. Although back</w:t>
      </w:r>
      <w:r w:rsidRPr="00AC5734">
        <w:t xml:space="preserve">door politics is informal, to some extent antithetical to the norms and regular documentation of procedures of service, notwithstanding, it has brought professionalism on the formalities by it timely accomplishment of the policy action implementations in the polity. </w:t>
      </w:r>
    </w:p>
    <w:p w:rsidR="0026675E" w:rsidRPr="00AC5734" w:rsidRDefault="0026675E" w:rsidP="0026675E">
      <w:pPr>
        <w:jc w:val="both"/>
      </w:pPr>
      <w:r w:rsidRPr="00AC5734">
        <w:t>This is so because humans are social beings who are rational and it is difficult to separate the human emotion from outcome of policy decisions. Around the world, communities devise ways to govern the commons to assure its survival for their needs and future generations</w:t>
      </w:r>
      <w:r>
        <w:t xml:space="preserve"> (</w:t>
      </w:r>
      <w:r w:rsidRPr="00386D08">
        <w:rPr>
          <w:lang w:eastAsia="en-GB"/>
        </w:rPr>
        <w:t>Paiano</w:t>
      </w:r>
      <w:r>
        <w:rPr>
          <w:lang w:eastAsia="en-GB"/>
        </w:rPr>
        <w:t xml:space="preserve"> </w:t>
      </w:r>
      <w:r w:rsidRPr="00386D08">
        <w:rPr>
          <w:lang w:eastAsia="en-GB"/>
        </w:rPr>
        <w:t>2008</w:t>
      </w:r>
      <w:r>
        <w:rPr>
          <w:lang w:eastAsia="en-GB"/>
        </w:rPr>
        <w:t xml:space="preserve">; Tadros </w:t>
      </w:r>
      <w:r w:rsidRPr="00386D08">
        <w:rPr>
          <w:lang w:eastAsia="en-GB"/>
        </w:rPr>
        <w:t>2015</w:t>
      </w:r>
      <w:r>
        <w:rPr>
          <w:lang w:eastAsia="en-GB"/>
        </w:rPr>
        <w:t xml:space="preserve">; Müller </w:t>
      </w:r>
      <w:r w:rsidRPr="007571FD">
        <w:rPr>
          <w:lang w:eastAsia="en-GB"/>
        </w:rPr>
        <w:t>2015</w:t>
      </w:r>
      <w:r>
        <w:t>)</w:t>
      </w:r>
      <w:r w:rsidRPr="00AC5734">
        <w:t>. Backdoor politics utilizations are no doubt present in all countries and even in the most formal procedures. The levels of the backdoor politics may vary from one polity to the other. The manner of it manifestations may also vary depending on the level of development of the polity. It should not amaze one if the level of development correspond to the volume of backdoor politics in getting formal governmental polices carried out informally. This implies that the rate of informality approaches in the state policy making had been strategically integrated in the implementation platform of the state.</w:t>
      </w:r>
    </w:p>
    <w:p w:rsidR="0026675E" w:rsidRPr="00AC5734" w:rsidRDefault="0026675E" w:rsidP="0026675E">
      <w:pPr>
        <w:jc w:val="both"/>
      </w:pPr>
      <w:r w:rsidRPr="00AC5734">
        <w:t>The objective of this paper is to determine the extent to which backdoor politics had affected</w:t>
      </w:r>
      <w:r>
        <w:t xml:space="preserve"> and or influence</w:t>
      </w:r>
      <w:r w:rsidRPr="00AC5734">
        <w:t xml:space="preserve"> policies and development in developing economies. Africa is selected to represent the developing economies of the world so as to see the extent of informalities affecting the decision making in the polity. It is noteworthy to analyse the different aspect of informalities in the backdoor politics which are identified as the informalities that emanates from both the domestic realities and that which emanates from the foreign realities. Afrobarometer database assessing </w:t>
      </w:r>
      <w:r>
        <w:t>three</w:t>
      </w:r>
      <w:r w:rsidRPr="00AC5734">
        <w:t xml:space="preserve"> countries in Africa from east, west and southern Africa randomly selected from the regions. These include; Kenya, Nigeria and South Africa respectively which are systematically </w:t>
      </w:r>
      <w:r>
        <w:t xml:space="preserve">and thematically </w:t>
      </w:r>
      <w:r w:rsidRPr="00AC5734">
        <w:t xml:space="preserve">analysed. </w:t>
      </w:r>
    </w:p>
    <w:p w:rsidR="0026675E" w:rsidRPr="00AC5734" w:rsidRDefault="0026675E" w:rsidP="0026675E">
      <w:pPr>
        <w:jc w:val="both"/>
      </w:pPr>
      <w:r w:rsidRPr="00AC5734">
        <w:t xml:space="preserve">The following questions will be </w:t>
      </w:r>
      <w:r>
        <w:t>analysed</w:t>
      </w:r>
      <w:r w:rsidRPr="00AC5734">
        <w:t xml:space="preserve"> to see the impact of backdoor politics on the </w:t>
      </w:r>
      <w:r>
        <w:t>extent of e</w:t>
      </w:r>
      <w:r w:rsidRPr="00AC5734">
        <w:t>th</w:t>
      </w:r>
      <w:r>
        <w:t>nic group´s political influence in the state?</w:t>
      </w:r>
      <w:r w:rsidRPr="00AC5734">
        <w:t xml:space="preserve"> How often officials go unp</w:t>
      </w:r>
      <w:r>
        <w:t>unished;</w:t>
      </w:r>
      <w:r w:rsidRPr="00AC5734">
        <w:t xml:space="preserve"> extent of traditional leaders influence</w:t>
      </w:r>
      <w:r>
        <w:t xml:space="preserve"> on governing local community? The level of i</w:t>
      </w:r>
      <w:r w:rsidRPr="00AC5734">
        <w:t>nfluence of civic organizations and Non Governmental Organizations (NGOs)</w:t>
      </w:r>
      <w:r>
        <w:t xml:space="preserve"> on the decision making and governance processes in the polity</w:t>
      </w:r>
      <w:r w:rsidRPr="00AC5734">
        <w:t>, Influence of internat</w:t>
      </w:r>
      <w:r>
        <w:t xml:space="preserve">ional businesses and investors and the level of </w:t>
      </w:r>
      <w:r w:rsidRPr="00AC5734">
        <w:t>Influence of In</w:t>
      </w:r>
      <w:r>
        <w:t>ternational donors and NGOs on the decision making and governance processes in the polity.</w:t>
      </w:r>
    </w:p>
    <w:p w:rsidR="0026675E" w:rsidRPr="00AC5734" w:rsidRDefault="0026675E" w:rsidP="0026675E">
      <w:pPr>
        <w:jc w:val="center"/>
        <w:rPr>
          <w:b/>
        </w:rPr>
      </w:pPr>
      <w:r w:rsidRPr="00AC5734">
        <w:rPr>
          <w:b/>
        </w:rPr>
        <w:lastRenderedPageBreak/>
        <w:t>CONCEPTUALISING BACKDOOR POLITICS</w:t>
      </w:r>
    </w:p>
    <w:p w:rsidR="0026675E" w:rsidRPr="00AC5734" w:rsidRDefault="0026675E" w:rsidP="0026675E">
      <w:pPr>
        <w:jc w:val="both"/>
      </w:pPr>
      <w:r w:rsidRPr="00AC5734">
        <w:t>Politics is multifaceted in it outlook. The ac</w:t>
      </w:r>
      <w:r>
        <w:t>t of getting things done</w:t>
      </w:r>
      <w:r w:rsidRPr="00AC5734">
        <w:t xml:space="preserve"> without the legal or documented procedure </w:t>
      </w:r>
      <w:r>
        <w:t xml:space="preserve">but seems to be permitted for the progress of the state or the organization </w:t>
      </w:r>
      <w:r w:rsidRPr="00AC5734">
        <w:t xml:space="preserve">is the act of backdooring procedures. Backdoor phenomenon is regular and active in all polities–where events are supposed to be routed through a bureaucratic channel but diverted to a fast lane due to it urgency and the level </w:t>
      </w:r>
      <w:r>
        <w:t>of influence mounted by</w:t>
      </w:r>
      <w:r w:rsidRPr="00AC5734">
        <w:t xml:space="preserve"> the group of people facilitating it. Backdoor are procedures with only virtual or quasi procedures but not the actual procedures with the documented legal procedure in an organised setting however, the regular outcome is usually the same with the outcome of the actual procedures</w:t>
      </w:r>
      <w:r>
        <w:t xml:space="preserve"> (</w:t>
      </w:r>
      <w:r>
        <w:rPr>
          <w:szCs w:val="28"/>
        </w:rPr>
        <w:t>Aluko 2016a</w:t>
      </w:r>
      <w:r>
        <w:t>)</w:t>
      </w:r>
      <w:r w:rsidRPr="00AC5734">
        <w:t xml:space="preserve">. </w:t>
      </w:r>
    </w:p>
    <w:p w:rsidR="0026675E" w:rsidRPr="00AC5734" w:rsidRDefault="0026675E" w:rsidP="0026675E">
      <w:pPr>
        <w:jc w:val="both"/>
      </w:pPr>
      <w:r w:rsidRPr="00AC5734">
        <w:t>In facts, the backdoor procedures are usually faster than the bureaucratic legal procedure in the organised settings such as government establishments and other private firms which make use of administrative procedures</w:t>
      </w:r>
      <w:r>
        <w:t xml:space="preserve"> (</w:t>
      </w:r>
      <w:r w:rsidRPr="00C472B1">
        <w:rPr>
          <w:lang w:eastAsia="en-GB"/>
        </w:rPr>
        <w:t xml:space="preserve">Falkner., Hartlapp., Leiber and </w:t>
      </w:r>
      <w:r w:rsidRPr="00386D08">
        <w:rPr>
          <w:lang w:eastAsia="en-GB"/>
        </w:rPr>
        <w:t>Treib</w:t>
      </w:r>
      <w:r w:rsidRPr="00C472B1">
        <w:rPr>
          <w:lang w:eastAsia="en-GB"/>
        </w:rPr>
        <w:t xml:space="preserve"> </w:t>
      </w:r>
      <w:r w:rsidRPr="00386D08">
        <w:rPr>
          <w:lang w:eastAsia="en-GB"/>
        </w:rPr>
        <w:t>2002</w:t>
      </w:r>
      <w:r>
        <w:t>)</w:t>
      </w:r>
      <w:r w:rsidRPr="00AC5734">
        <w:t>. The politics of who gets what when and how is conditioned by who you know, where, when and how. This politics to a great extent conditions the procedures in such public and or private firms. It creates room to some extent for favouritism, men-pleaser services and to a little nepotism. This might implies a non professional act by the administrators but it simply confirms the fact that all fingers are not equal so as all men are not equal in calibre and position of influence in the society</w:t>
      </w:r>
      <w:r>
        <w:t xml:space="preserve"> (Aluko 2017)</w:t>
      </w:r>
      <w:r w:rsidRPr="00AC5734">
        <w:t>.</w:t>
      </w:r>
    </w:p>
    <w:p w:rsidR="0026675E" w:rsidRPr="00AC5734" w:rsidRDefault="0026675E" w:rsidP="0026675E">
      <w:pPr>
        <w:jc w:val="both"/>
      </w:pPr>
      <w:r w:rsidRPr="00AC5734">
        <w:t>The non equivocal availability of men to some extent beyond the limit of proportionality gives room for informalities among comity of friends and states in the wider view. These informalities gets things done in a more relax atmosphere and an unfetter procedures. This backdoor approach in politics often starts from the influence of the kitchen cabinet of the decision maker which includes the wife and immediate family members to his inner caucus influences which include his business or administrative friends and to the pressure from government top political offices either within the state or outside.</w:t>
      </w:r>
    </w:p>
    <w:p w:rsidR="0026675E" w:rsidRPr="00AC5734" w:rsidRDefault="0026675E" w:rsidP="0026675E">
      <w:pPr>
        <w:jc w:val="both"/>
      </w:pPr>
      <w:r w:rsidRPr="00AC5734">
        <w:t>There is informalities in the formality of every policies the government rolls out and the choice of it implementation and feedbacks. These informalities are seen as normal for the progress of the business or the state and for the greatest happiness of the greatest number of people in the state at lager. These informalities in official procedures simply called backdoor politics in this paper had encourage more effective and rapid outputs in the governmental bureaucratic procedures by creating a quasi official route for the administrative processes and procedures.</w:t>
      </w:r>
    </w:p>
    <w:p w:rsidR="0026675E" w:rsidRPr="00AC5734" w:rsidRDefault="0026675E" w:rsidP="0026675E">
      <w:r w:rsidRPr="00AC5734">
        <w:t xml:space="preserve">   </w:t>
      </w:r>
    </w:p>
    <w:p w:rsidR="0026675E" w:rsidRPr="00AC5734" w:rsidRDefault="0026675E" w:rsidP="0026675E">
      <w:pPr>
        <w:jc w:val="center"/>
        <w:rPr>
          <w:b/>
        </w:rPr>
      </w:pPr>
      <w:r w:rsidRPr="00AC5734">
        <w:rPr>
          <w:b/>
        </w:rPr>
        <w:t>BACKDOOR POLITICS APPROACH IN DEVELOPING ECONOMIES</w:t>
      </w:r>
    </w:p>
    <w:p w:rsidR="0026675E" w:rsidRPr="00AC5734" w:rsidRDefault="0026675E" w:rsidP="0026675E">
      <w:pPr>
        <w:jc w:val="both"/>
      </w:pPr>
      <w:r w:rsidRPr="00AC5734">
        <w:t>The backdoor politics approaches in the developing economies are numerous. This will be discussed in the four facet of it operations and it influences which include the political approach, the economic approach, the ethnic approach and the religious approach. The political approach to backdoor politics in the developing economies involves the acute government involvement in the politicking of government bureaucracies. The recruitments of staffs are done from the informal procedure of political power, influence and authority instead of merit and bureaucratic procedures legally backed by the state law.</w:t>
      </w:r>
    </w:p>
    <w:p w:rsidR="0026675E" w:rsidRPr="00AC5734" w:rsidRDefault="0026675E" w:rsidP="0026675E">
      <w:pPr>
        <w:jc w:val="both"/>
      </w:pPr>
      <w:r w:rsidRPr="00AC5734">
        <w:t>The recruitments done through informal–backdoor politics will always give room for more compromise to the caregiver which in this case is the political office holder which gave in for the occurrence. Whenever the political office holder need to pass through the legal rational bureaucratic procedure of the office, backdoor politics will be applied so as to get things done without much stress</w:t>
      </w:r>
      <w:r>
        <w:t xml:space="preserve"> (</w:t>
      </w:r>
      <w:r>
        <w:rPr>
          <w:lang w:eastAsia="en-GB"/>
        </w:rPr>
        <w:t xml:space="preserve">Bachmann </w:t>
      </w:r>
      <w:r w:rsidRPr="00386D08">
        <w:rPr>
          <w:lang w:eastAsia="en-GB"/>
        </w:rPr>
        <w:t>2016</w:t>
      </w:r>
      <w:r>
        <w:t>)</w:t>
      </w:r>
      <w:r w:rsidRPr="00AC5734">
        <w:t xml:space="preserve">. This might have negative effect on the state at large but </w:t>
      </w:r>
      <w:r w:rsidRPr="00AC5734">
        <w:lastRenderedPageBreak/>
        <w:t>to some extent the day to day running of the office is maintained at an optimum level of administration.</w:t>
      </w:r>
    </w:p>
    <w:p w:rsidR="0026675E" w:rsidRPr="00AC5734" w:rsidRDefault="0026675E" w:rsidP="0026675E">
      <w:pPr>
        <w:jc w:val="both"/>
      </w:pPr>
      <w:r w:rsidRPr="00AC5734">
        <w:t>The economic approach to backdoor politics in the developing economies involves the illegal flow of financial largess within the organization so as to get the official protocols out of the way for the informalities</w:t>
      </w:r>
      <w:r>
        <w:t xml:space="preserve"> (Aluko 2017)</w:t>
      </w:r>
      <w:r w:rsidRPr="00AC5734">
        <w:t xml:space="preserve">. This in most cases is referred to as bribery and misappropriation of fund. Although the financial largess might not be to bend the procedure of operations in the state but to compensate the officers on duty for the fast tracking of the official procedures. In other words, the issue of </w:t>
      </w:r>
      <w:r w:rsidRPr="00AC5734">
        <w:rPr>
          <w:i/>
        </w:rPr>
        <w:t xml:space="preserve">quid pro quo </w:t>
      </w:r>
      <w:r w:rsidRPr="00AC5734">
        <w:t>is a form of backdoor politics of the economic approach</w:t>
      </w:r>
      <w:r>
        <w:t xml:space="preserve"> (</w:t>
      </w:r>
      <w:r w:rsidRPr="00386D08">
        <w:rPr>
          <w:lang w:eastAsia="en-GB"/>
        </w:rPr>
        <w:t>Gounev 2011</w:t>
      </w:r>
      <w:r>
        <w:rPr>
          <w:lang w:eastAsia="en-GB"/>
        </w:rPr>
        <w:t xml:space="preserve">; </w:t>
      </w:r>
      <w:r>
        <w:rPr>
          <w:szCs w:val="28"/>
        </w:rPr>
        <w:t>Aluko 2016b</w:t>
      </w:r>
      <w:r>
        <w:t>)</w:t>
      </w:r>
      <w:r w:rsidRPr="00AC5734">
        <w:t>. It implies that you give something to get something in return. Realist and moralist see this as antithetical to development and sustainability of official state procedures but idealist and the amoral sees it as a means to an end which might benefit the whole state at large in the long run.</w:t>
      </w:r>
    </w:p>
    <w:p w:rsidR="0026675E" w:rsidRPr="00AC5734" w:rsidRDefault="0026675E" w:rsidP="0026675E">
      <w:pPr>
        <w:jc w:val="both"/>
      </w:pPr>
      <w:r w:rsidRPr="00AC5734">
        <w:t>The ethnical approach to backdoor politics in the developing economies involves giving of sentimental prejudice to issues or policies that torches the policy maker’s consanguine groups. This therefore allows more soft torches to be given to such issues or policies while other policies will receive a total official attention without any iota of informalities. The backdoor politics of whom you know and same ethnic affinity approach had seen much projects awarded to a region than the other regions due to the personal prejudice, egocentrism, nepotism and sentimental prowess of the humans at the helm of affairs</w:t>
      </w:r>
      <w:r>
        <w:t xml:space="preserve"> (</w:t>
      </w:r>
      <w:r>
        <w:rPr>
          <w:lang w:eastAsia="en-GB"/>
        </w:rPr>
        <w:t xml:space="preserve">Ho &amp; Chua </w:t>
      </w:r>
      <w:r w:rsidRPr="00386D08">
        <w:rPr>
          <w:lang w:eastAsia="en-GB"/>
        </w:rPr>
        <w:t>2015</w:t>
      </w:r>
      <w:r>
        <w:t>)</w:t>
      </w:r>
      <w:r w:rsidRPr="00AC5734">
        <w:t xml:space="preserve">. This approach has a link with the religious approach to backdoor politics in the developing economies. This involves the showing of more favour to a particular religious group while the others are sparsely neglected. </w:t>
      </w:r>
    </w:p>
    <w:p w:rsidR="0026675E" w:rsidRPr="00AC5734" w:rsidRDefault="0026675E" w:rsidP="0026675E">
      <w:pPr>
        <w:jc w:val="both"/>
      </w:pPr>
      <w:r w:rsidRPr="00AC5734">
        <w:t xml:space="preserve">The religious approach to backdoor politics in the developing economies involves the neglect of most or few procedures due to the religious affinity and knowhow of the benefactors. This issue in most cases if not properly handled with professionalism do lead to religious bigotry and chauvinism. All of these approach to backdoor politics in the developing economies have to some extent reflected in the progress of the government while in some cases had led to the criticism of the government. Excessive bureaucratic procedures nevertheless slow down governmental actions especially when urgent questions need answer and pressing problems needs solution. The level of informalities therefore in formalities should be censored so as to get a rapid and popular response from the general populace.   </w:t>
      </w:r>
    </w:p>
    <w:p w:rsidR="0026675E" w:rsidRPr="00AC5734" w:rsidRDefault="0026675E" w:rsidP="0026675E">
      <w:pPr>
        <w:rPr>
          <w:b/>
        </w:rPr>
      </w:pPr>
    </w:p>
    <w:p w:rsidR="0026675E" w:rsidRPr="00AC5734" w:rsidRDefault="0026675E" w:rsidP="0026675E">
      <w:pPr>
        <w:jc w:val="center"/>
        <w:rPr>
          <w:b/>
        </w:rPr>
      </w:pPr>
      <w:r w:rsidRPr="00AC5734">
        <w:rPr>
          <w:b/>
        </w:rPr>
        <w:t>METHODOLOGY</w:t>
      </w:r>
    </w:p>
    <w:p w:rsidR="0026675E" w:rsidRPr="00AC5734" w:rsidRDefault="0026675E" w:rsidP="0026675E">
      <w:pPr>
        <w:jc w:val="both"/>
      </w:pPr>
      <w:r w:rsidRPr="00AC5734">
        <w:t xml:space="preserve">The objective of this paper is to determine the extent to which backdoor politics had affected policies and development in Africa. Afrobarometer database assessing </w:t>
      </w:r>
      <w:r>
        <w:t>three</w:t>
      </w:r>
      <w:r w:rsidRPr="00AC5734">
        <w:t xml:space="preserve"> countries in Africa from east, west and southern Africa which include; Kenya, Nigeria and </w:t>
      </w:r>
      <w:r>
        <w:t>South Africa</w:t>
      </w:r>
      <w:r w:rsidRPr="00AC5734">
        <w:t xml:space="preserve"> respectively are systematically analysed. Two thousand four hundred</w:t>
      </w:r>
      <w:r>
        <w:t xml:space="preserve"> (2,400) respondents were simple </w:t>
      </w:r>
      <w:r w:rsidRPr="00AC5734">
        <w:t>random</w:t>
      </w:r>
      <w:r>
        <w:t>ly purposive</w:t>
      </w:r>
      <w:r w:rsidRPr="00AC5734">
        <w:t xml:space="preserve"> sampled across </w:t>
      </w:r>
      <w:r>
        <w:t>each</w:t>
      </w:r>
      <w:r w:rsidRPr="00AC5734">
        <w:t xml:space="preserve"> countries.</w:t>
      </w:r>
      <w:r w:rsidRPr="00C34041">
        <w:t xml:space="preserve"> </w:t>
      </w:r>
      <w:r>
        <w:t>Descriptive analyses with the use of simple percentage and bar charts are employed</w:t>
      </w:r>
    </w:p>
    <w:p w:rsidR="0026675E" w:rsidRPr="00AC5734" w:rsidRDefault="0026675E" w:rsidP="0026675E">
      <w:pPr>
        <w:jc w:val="both"/>
      </w:pPr>
      <w:r w:rsidRPr="00AC5734">
        <w:t>The following questions will be analyse to see the level of impact of backdoor politics; Ethnic group´s political influence? How often officials go unpunished, extent of traditional leaders influence on governing local community? Influence of civic organizations and Non Governmental Organizations (NGOs) in the state, Influence of international businesses and investors, and Influence of International donors and NGOs.</w:t>
      </w:r>
    </w:p>
    <w:p w:rsidR="0026675E" w:rsidRPr="00AC5734" w:rsidRDefault="0026675E" w:rsidP="0026675E">
      <w:pPr>
        <w:jc w:val="both"/>
        <w:rPr>
          <w:b/>
        </w:rPr>
      </w:pPr>
    </w:p>
    <w:p w:rsidR="0026675E" w:rsidRDefault="0026675E" w:rsidP="0026675E">
      <w:pPr>
        <w:jc w:val="center"/>
        <w:rPr>
          <w:b/>
        </w:rPr>
      </w:pPr>
      <w:r w:rsidRPr="00AC5734">
        <w:rPr>
          <w:b/>
        </w:rPr>
        <w:lastRenderedPageBreak/>
        <w:t>PRESENTATION OF DATA</w:t>
      </w:r>
      <w:r>
        <w:rPr>
          <w:b/>
        </w:rPr>
        <w:t xml:space="preserve"> AND ANALYSIS</w:t>
      </w:r>
    </w:p>
    <w:p w:rsidR="0026675E" w:rsidRPr="00CC680A" w:rsidRDefault="0026675E" w:rsidP="0026675E">
      <w:pPr>
        <w:jc w:val="both"/>
      </w:pPr>
      <w:r>
        <w:t>This section of the paper presents data on the reality of backdoor politics informal influence on the polity and the policy makers in Africa by state and non state actors. Descriptive analyses with the use of bar charts are employed. The following actors’ influences are considered; ethnic groups, government officials; traditional rulers; civic organizations; international business investors and international donor and nongovernmental organization (NGO).</w:t>
      </w:r>
    </w:p>
    <w:p w:rsidR="0026675E" w:rsidRDefault="0026675E" w:rsidP="0026675E">
      <w:pPr>
        <w:jc w:val="both"/>
        <w:rPr>
          <w:b/>
          <w:bCs/>
          <w:color w:val="000000"/>
          <w:lang w:eastAsia="en-GB"/>
        </w:rPr>
      </w:pPr>
    </w:p>
    <w:p w:rsidR="0026675E" w:rsidRDefault="0026675E" w:rsidP="0026675E">
      <w:pPr>
        <w:jc w:val="both"/>
        <w:rPr>
          <w:b/>
          <w:bCs/>
          <w:color w:val="000000"/>
          <w:lang w:eastAsia="en-GB"/>
        </w:rPr>
      </w:pPr>
    </w:p>
    <w:p w:rsidR="0026675E" w:rsidRDefault="0026675E" w:rsidP="0026675E">
      <w:pPr>
        <w:jc w:val="both"/>
        <w:rPr>
          <w:b/>
          <w:bCs/>
          <w:color w:val="000000"/>
          <w:lang w:eastAsia="en-GB"/>
        </w:rPr>
      </w:pPr>
    </w:p>
    <w:p w:rsidR="0026675E" w:rsidRPr="00AC5734" w:rsidRDefault="0026675E" w:rsidP="0026675E">
      <w:pPr>
        <w:jc w:val="both"/>
        <w:rPr>
          <w:b/>
          <w:bCs/>
          <w:color w:val="000000"/>
          <w:lang w:eastAsia="en-GB"/>
        </w:rPr>
      </w:pPr>
      <w:r w:rsidRPr="00AC5734">
        <w:rPr>
          <w:b/>
          <w:bCs/>
          <w:color w:val="000000"/>
          <w:lang w:eastAsia="en-GB"/>
        </w:rPr>
        <w:t>Table I: Ethnic group´s political influence</w:t>
      </w:r>
    </w:p>
    <w:tbl>
      <w:tblPr>
        <w:tblStyle w:val="TableGrid"/>
        <w:tblW w:w="7393" w:type="dxa"/>
        <w:tblLook w:val="04A0"/>
      </w:tblPr>
      <w:tblGrid>
        <w:gridCol w:w="1848"/>
        <w:gridCol w:w="1848"/>
        <w:gridCol w:w="1848"/>
        <w:gridCol w:w="1849"/>
      </w:tblGrid>
      <w:tr w:rsidR="0026675E" w:rsidRPr="00AC5734" w:rsidTr="00C370FB">
        <w:trPr>
          <w:trHeight w:val="255"/>
        </w:trPr>
        <w:tc>
          <w:tcPr>
            <w:tcW w:w="1848" w:type="dxa"/>
            <w:noWrap/>
            <w:hideMark/>
          </w:tcPr>
          <w:p w:rsidR="0026675E" w:rsidRPr="00AC5734" w:rsidRDefault="0026675E" w:rsidP="00C370FB">
            <w:pPr>
              <w:rPr>
                <w:sz w:val="24"/>
                <w:szCs w:val="24"/>
                <w:lang w:eastAsia="en-GB"/>
              </w:rPr>
            </w:pPr>
          </w:p>
        </w:tc>
        <w:tc>
          <w:tcPr>
            <w:tcW w:w="1848" w:type="dxa"/>
            <w:noWrap/>
            <w:hideMark/>
          </w:tcPr>
          <w:p w:rsidR="0026675E" w:rsidRPr="00AC5734" w:rsidRDefault="0026675E" w:rsidP="00C370FB">
            <w:pPr>
              <w:rPr>
                <w:sz w:val="24"/>
                <w:szCs w:val="24"/>
                <w:lang w:eastAsia="en-GB"/>
              </w:rPr>
            </w:pPr>
            <w:r w:rsidRPr="00AC5734">
              <w:rPr>
                <w:sz w:val="24"/>
                <w:szCs w:val="24"/>
                <w:lang w:eastAsia="en-GB"/>
              </w:rPr>
              <w:t>Kenya</w:t>
            </w:r>
          </w:p>
        </w:tc>
        <w:tc>
          <w:tcPr>
            <w:tcW w:w="1848" w:type="dxa"/>
            <w:noWrap/>
            <w:hideMark/>
          </w:tcPr>
          <w:p w:rsidR="0026675E" w:rsidRPr="00AC5734" w:rsidRDefault="0026675E" w:rsidP="00C370FB">
            <w:pPr>
              <w:rPr>
                <w:sz w:val="24"/>
                <w:szCs w:val="24"/>
                <w:lang w:eastAsia="en-GB"/>
              </w:rPr>
            </w:pPr>
            <w:r w:rsidRPr="00AC5734">
              <w:rPr>
                <w:sz w:val="24"/>
                <w:szCs w:val="24"/>
                <w:lang w:eastAsia="en-GB"/>
              </w:rPr>
              <w:t>Nigeria</w:t>
            </w:r>
          </w:p>
        </w:tc>
        <w:tc>
          <w:tcPr>
            <w:tcW w:w="1849" w:type="dxa"/>
            <w:noWrap/>
            <w:hideMark/>
          </w:tcPr>
          <w:p w:rsidR="0026675E" w:rsidRPr="00AC5734" w:rsidRDefault="0026675E" w:rsidP="00C370FB">
            <w:pPr>
              <w:rPr>
                <w:sz w:val="24"/>
                <w:szCs w:val="24"/>
                <w:lang w:eastAsia="en-GB"/>
              </w:rPr>
            </w:pPr>
            <w:r w:rsidRPr="00AC5734">
              <w:rPr>
                <w:sz w:val="24"/>
                <w:szCs w:val="24"/>
                <w:lang w:eastAsia="en-GB"/>
              </w:rPr>
              <w:t>South Africa</w:t>
            </w:r>
          </w:p>
        </w:tc>
      </w:tr>
      <w:tr w:rsidR="0026675E" w:rsidRPr="00AC5734" w:rsidTr="00C370FB">
        <w:trPr>
          <w:trHeight w:val="255"/>
        </w:trPr>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Ethnic group´s political influence</w:t>
            </w:r>
          </w:p>
        </w:tc>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R4 2008/2009</w:t>
            </w:r>
          </w:p>
        </w:tc>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R4 2008/2009</w:t>
            </w:r>
          </w:p>
        </w:tc>
        <w:tc>
          <w:tcPr>
            <w:tcW w:w="1849"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R4 2008/2009</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Much more</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8</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11</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6</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More</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16</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19</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10</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Same</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36</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38</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41</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Less</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25</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22</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13</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Much less</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13</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6</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7</w:t>
            </w:r>
          </w:p>
        </w:tc>
      </w:tr>
    </w:tbl>
    <w:p w:rsidR="0026675E" w:rsidRPr="00AC5734" w:rsidRDefault="0026675E" w:rsidP="0026675E">
      <w:pPr>
        <w:rPr>
          <w:b/>
        </w:rPr>
      </w:pPr>
      <w:r w:rsidRPr="00AC5734">
        <w:rPr>
          <w:b/>
        </w:rPr>
        <w:t xml:space="preserve">Source: Afrobarometer database </w:t>
      </w:r>
    </w:p>
    <w:p w:rsidR="0026675E" w:rsidRPr="00AC5734" w:rsidRDefault="0026675E" w:rsidP="0026675E">
      <w:pPr>
        <w:jc w:val="center"/>
        <w:rPr>
          <w:b/>
        </w:rPr>
      </w:pPr>
      <w:r w:rsidRPr="00AC5734">
        <w:rPr>
          <w:b/>
          <w:noProof/>
          <w:lang w:val="en-US" w:eastAsia="en-US"/>
        </w:rPr>
        <w:drawing>
          <wp:inline distT="0" distB="0" distL="0" distR="0">
            <wp:extent cx="4857750" cy="2743200"/>
            <wp:effectExtent l="19050" t="0" r="19050" b="0"/>
            <wp:docPr id="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6675E" w:rsidRPr="00AC5734" w:rsidRDefault="0026675E" w:rsidP="0026675E">
      <w:pPr>
        <w:rPr>
          <w:b/>
          <w:bCs/>
          <w:color w:val="000000"/>
          <w:lang w:eastAsia="en-GB"/>
        </w:rPr>
      </w:pPr>
      <w:r w:rsidRPr="00AC5734">
        <w:rPr>
          <w:b/>
        </w:rPr>
        <w:t xml:space="preserve">            Figure I: </w:t>
      </w:r>
      <w:r w:rsidRPr="00AC5734">
        <w:rPr>
          <w:b/>
          <w:bCs/>
          <w:color w:val="000000"/>
          <w:lang w:eastAsia="en-GB"/>
        </w:rPr>
        <w:t>Ethnic group´s political influence</w:t>
      </w:r>
    </w:p>
    <w:p w:rsidR="0026675E" w:rsidRDefault="0026675E" w:rsidP="0026675E">
      <w:pPr>
        <w:jc w:val="both"/>
      </w:pPr>
      <w:r>
        <w:t xml:space="preserve">The table I and Figure I above present data on ethnic groups’ political influence on the polity in Africa. The data presented comparatively considered three countries in Africa which include Kenya, Nigeria and South Africa which are randomly selected for the study in Africa. </w:t>
      </w:r>
    </w:p>
    <w:p w:rsidR="0026675E" w:rsidRPr="00D7721E" w:rsidRDefault="0026675E" w:rsidP="0026675E"/>
    <w:p w:rsidR="0026675E" w:rsidRPr="00AC5734" w:rsidRDefault="0026675E" w:rsidP="0026675E">
      <w:pPr>
        <w:jc w:val="both"/>
        <w:rPr>
          <w:b/>
          <w:bCs/>
          <w:color w:val="000000"/>
          <w:lang w:eastAsia="en-GB"/>
        </w:rPr>
      </w:pPr>
      <w:r w:rsidRPr="00AC5734">
        <w:rPr>
          <w:b/>
          <w:bCs/>
          <w:color w:val="000000"/>
          <w:lang w:eastAsia="en-GB"/>
        </w:rPr>
        <w:t>Table II: How often officials unpunished</w:t>
      </w:r>
    </w:p>
    <w:tbl>
      <w:tblPr>
        <w:tblStyle w:val="TableGrid"/>
        <w:tblW w:w="7393" w:type="dxa"/>
        <w:tblLook w:val="04A0"/>
      </w:tblPr>
      <w:tblGrid>
        <w:gridCol w:w="1848"/>
        <w:gridCol w:w="1848"/>
        <w:gridCol w:w="1848"/>
        <w:gridCol w:w="1849"/>
      </w:tblGrid>
      <w:tr w:rsidR="0026675E" w:rsidRPr="00AC5734" w:rsidTr="00C370FB">
        <w:trPr>
          <w:trHeight w:val="255"/>
        </w:trPr>
        <w:tc>
          <w:tcPr>
            <w:tcW w:w="1848" w:type="dxa"/>
            <w:noWrap/>
            <w:hideMark/>
          </w:tcPr>
          <w:p w:rsidR="0026675E" w:rsidRPr="00AC5734" w:rsidRDefault="0026675E" w:rsidP="00C370FB">
            <w:pPr>
              <w:rPr>
                <w:sz w:val="24"/>
                <w:szCs w:val="24"/>
                <w:lang w:eastAsia="en-GB"/>
              </w:rPr>
            </w:pPr>
          </w:p>
        </w:tc>
        <w:tc>
          <w:tcPr>
            <w:tcW w:w="1848" w:type="dxa"/>
            <w:noWrap/>
            <w:hideMark/>
          </w:tcPr>
          <w:p w:rsidR="0026675E" w:rsidRPr="00AC5734" w:rsidRDefault="0026675E" w:rsidP="00C370FB">
            <w:pPr>
              <w:rPr>
                <w:b/>
                <w:bCs/>
                <w:sz w:val="24"/>
                <w:szCs w:val="24"/>
                <w:lang w:eastAsia="en-GB"/>
              </w:rPr>
            </w:pPr>
            <w:r w:rsidRPr="00AC5734">
              <w:rPr>
                <w:b/>
                <w:bCs/>
                <w:sz w:val="24"/>
                <w:szCs w:val="24"/>
                <w:lang w:eastAsia="en-GB"/>
              </w:rPr>
              <w:t>Kenya</w:t>
            </w:r>
          </w:p>
        </w:tc>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Nigeria</w:t>
            </w:r>
          </w:p>
        </w:tc>
        <w:tc>
          <w:tcPr>
            <w:tcW w:w="1849" w:type="dxa"/>
            <w:noWrap/>
            <w:vAlign w:val="bottom"/>
            <w:hideMark/>
          </w:tcPr>
          <w:p w:rsidR="0026675E" w:rsidRPr="00AC5734" w:rsidRDefault="0026675E" w:rsidP="00C370FB">
            <w:pPr>
              <w:rPr>
                <w:b/>
                <w:bCs/>
                <w:sz w:val="24"/>
                <w:szCs w:val="24"/>
              </w:rPr>
            </w:pPr>
            <w:r w:rsidRPr="00AC5734">
              <w:rPr>
                <w:b/>
                <w:bCs/>
                <w:sz w:val="24"/>
                <w:szCs w:val="24"/>
              </w:rPr>
              <w:t>South Africa</w:t>
            </w:r>
          </w:p>
        </w:tc>
      </w:tr>
      <w:tr w:rsidR="0026675E" w:rsidRPr="00AC5734" w:rsidTr="00C370FB">
        <w:trPr>
          <w:trHeight w:val="255"/>
        </w:trPr>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 xml:space="preserve">How often officials </w:t>
            </w:r>
            <w:r w:rsidRPr="00AC5734">
              <w:rPr>
                <w:b/>
                <w:bCs/>
                <w:color w:val="000000"/>
                <w:sz w:val="24"/>
                <w:szCs w:val="24"/>
                <w:lang w:eastAsia="en-GB"/>
              </w:rPr>
              <w:lastRenderedPageBreak/>
              <w:t>unpunished</w:t>
            </w:r>
          </w:p>
        </w:tc>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lastRenderedPageBreak/>
              <w:t>R6 2013/2014</w:t>
            </w:r>
          </w:p>
        </w:tc>
        <w:tc>
          <w:tcPr>
            <w:tcW w:w="1848" w:type="dxa"/>
            <w:noWrap/>
            <w:hideMark/>
          </w:tcPr>
          <w:p w:rsidR="0026675E" w:rsidRPr="00AC5734" w:rsidRDefault="0026675E" w:rsidP="00C370FB">
            <w:pPr>
              <w:rPr>
                <w:b/>
                <w:bCs/>
                <w:color w:val="000000"/>
                <w:sz w:val="24"/>
                <w:szCs w:val="24"/>
                <w:lang w:eastAsia="en-GB"/>
              </w:rPr>
            </w:pPr>
            <w:r w:rsidRPr="00AC5734">
              <w:rPr>
                <w:b/>
                <w:bCs/>
                <w:color w:val="000000"/>
                <w:sz w:val="24"/>
                <w:szCs w:val="24"/>
                <w:lang w:eastAsia="en-GB"/>
              </w:rPr>
              <w:t>R6 2013/2014</w:t>
            </w:r>
          </w:p>
        </w:tc>
        <w:tc>
          <w:tcPr>
            <w:tcW w:w="1849" w:type="dxa"/>
            <w:noWrap/>
            <w:vAlign w:val="bottom"/>
            <w:hideMark/>
          </w:tcPr>
          <w:p w:rsidR="0026675E" w:rsidRPr="00AC5734" w:rsidRDefault="0026675E" w:rsidP="00C370FB">
            <w:pPr>
              <w:rPr>
                <w:b/>
                <w:bCs/>
                <w:color w:val="000000"/>
                <w:sz w:val="24"/>
                <w:szCs w:val="24"/>
              </w:rPr>
            </w:pPr>
            <w:r w:rsidRPr="00AC5734">
              <w:rPr>
                <w:b/>
                <w:bCs/>
                <w:color w:val="000000"/>
                <w:sz w:val="24"/>
                <w:szCs w:val="24"/>
              </w:rPr>
              <w:t>R5 2011/2012</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lastRenderedPageBreak/>
              <w:t>Never</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7</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11</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19</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Rarely</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13</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19</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23</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Often</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37</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33</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38</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Always</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39</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35</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18</w:t>
            </w:r>
          </w:p>
        </w:tc>
      </w:tr>
      <w:tr w:rsidR="0026675E" w:rsidRPr="00AC5734" w:rsidTr="00C370FB">
        <w:trPr>
          <w:trHeight w:val="255"/>
        </w:trPr>
        <w:tc>
          <w:tcPr>
            <w:tcW w:w="1848" w:type="dxa"/>
            <w:noWrap/>
            <w:hideMark/>
          </w:tcPr>
          <w:p w:rsidR="0026675E" w:rsidRPr="00AC5734" w:rsidRDefault="0026675E" w:rsidP="00C370FB">
            <w:pPr>
              <w:rPr>
                <w:color w:val="000000"/>
                <w:sz w:val="24"/>
                <w:szCs w:val="24"/>
                <w:lang w:eastAsia="en-GB"/>
              </w:rPr>
            </w:pPr>
            <w:r w:rsidRPr="00AC5734">
              <w:rPr>
                <w:color w:val="000000"/>
                <w:sz w:val="24"/>
                <w:szCs w:val="24"/>
                <w:lang w:eastAsia="en-GB"/>
              </w:rPr>
              <w:t>Don't know</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4</w:t>
            </w:r>
          </w:p>
        </w:tc>
        <w:tc>
          <w:tcPr>
            <w:tcW w:w="1848" w:type="dxa"/>
            <w:noWrap/>
            <w:hideMark/>
          </w:tcPr>
          <w:p w:rsidR="0026675E" w:rsidRPr="00AC5734" w:rsidRDefault="0026675E" w:rsidP="00C370FB">
            <w:pPr>
              <w:jc w:val="right"/>
              <w:rPr>
                <w:color w:val="000000"/>
                <w:sz w:val="24"/>
                <w:szCs w:val="24"/>
                <w:lang w:eastAsia="en-GB"/>
              </w:rPr>
            </w:pPr>
            <w:r w:rsidRPr="00AC5734">
              <w:rPr>
                <w:color w:val="000000"/>
                <w:sz w:val="24"/>
                <w:szCs w:val="24"/>
                <w:lang w:eastAsia="en-GB"/>
              </w:rPr>
              <w:t>2</w:t>
            </w:r>
          </w:p>
        </w:tc>
        <w:tc>
          <w:tcPr>
            <w:tcW w:w="1849" w:type="dxa"/>
            <w:noWrap/>
            <w:vAlign w:val="bottom"/>
            <w:hideMark/>
          </w:tcPr>
          <w:p w:rsidR="0026675E" w:rsidRPr="00AC5734" w:rsidRDefault="0026675E" w:rsidP="00C370FB">
            <w:pPr>
              <w:jc w:val="right"/>
              <w:rPr>
                <w:color w:val="000000"/>
                <w:sz w:val="24"/>
                <w:szCs w:val="24"/>
              </w:rPr>
            </w:pPr>
            <w:r w:rsidRPr="00AC5734">
              <w:rPr>
                <w:color w:val="000000"/>
                <w:sz w:val="24"/>
                <w:szCs w:val="24"/>
              </w:rPr>
              <w:t>2</w:t>
            </w:r>
          </w:p>
        </w:tc>
      </w:tr>
    </w:tbl>
    <w:p w:rsidR="0026675E" w:rsidRPr="00AC5734" w:rsidRDefault="0026675E" w:rsidP="0026675E">
      <w:pPr>
        <w:rPr>
          <w:b/>
        </w:rPr>
      </w:pPr>
      <w:r w:rsidRPr="00AC5734">
        <w:rPr>
          <w:b/>
        </w:rPr>
        <w:t xml:space="preserve">Source: Afrobarometer database </w:t>
      </w:r>
    </w:p>
    <w:p w:rsidR="0026675E" w:rsidRPr="00AC5734" w:rsidRDefault="0026675E" w:rsidP="0026675E">
      <w:pPr>
        <w:rPr>
          <w:b/>
        </w:rPr>
      </w:pPr>
      <w:r w:rsidRPr="00AC5734">
        <w:rPr>
          <w:b/>
          <w:noProof/>
          <w:lang w:val="en-US" w:eastAsia="en-US"/>
        </w:rPr>
        <w:drawing>
          <wp:inline distT="0" distB="0" distL="0" distR="0">
            <wp:extent cx="4733925" cy="2743200"/>
            <wp:effectExtent l="19050" t="0" r="9525" b="0"/>
            <wp:docPr id="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6675E" w:rsidRDefault="0026675E" w:rsidP="0026675E">
      <w:pPr>
        <w:rPr>
          <w:b/>
          <w:bCs/>
          <w:color w:val="000000"/>
          <w:lang w:eastAsia="en-GB"/>
        </w:rPr>
      </w:pPr>
      <w:r w:rsidRPr="00AC5734">
        <w:rPr>
          <w:b/>
        </w:rPr>
        <w:t xml:space="preserve">            Figure II: </w:t>
      </w:r>
      <w:r w:rsidRPr="00AC5734">
        <w:rPr>
          <w:b/>
          <w:bCs/>
          <w:color w:val="000000"/>
          <w:lang w:eastAsia="en-GB"/>
        </w:rPr>
        <w:t>How often officials unpunished</w:t>
      </w:r>
    </w:p>
    <w:p w:rsidR="0026675E" w:rsidRDefault="0026675E" w:rsidP="0026675E">
      <w:pPr>
        <w:jc w:val="both"/>
      </w:pPr>
      <w:r>
        <w:t xml:space="preserve">The table II and Figure II above present data on </w:t>
      </w:r>
      <w:r>
        <w:rPr>
          <w:bCs/>
          <w:color w:val="000000"/>
          <w:lang w:eastAsia="en-GB"/>
        </w:rPr>
        <w:t>h</w:t>
      </w:r>
      <w:r w:rsidRPr="008F3FDF">
        <w:rPr>
          <w:bCs/>
          <w:color w:val="000000"/>
          <w:lang w:eastAsia="en-GB"/>
        </w:rPr>
        <w:t xml:space="preserve">ow often officials </w:t>
      </w:r>
      <w:r>
        <w:rPr>
          <w:bCs/>
          <w:color w:val="000000"/>
          <w:lang w:eastAsia="en-GB"/>
        </w:rPr>
        <w:t xml:space="preserve">of the state go </w:t>
      </w:r>
      <w:r w:rsidRPr="008F3FDF">
        <w:rPr>
          <w:bCs/>
          <w:color w:val="000000"/>
          <w:lang w:eastAsia="en-GB"/>
        </w:rPr>
        <w:t>unpunished</w:t>
      </w:r>
      <w:r>
        <w:t xml:space="preserve"> due to their backdoor politics and influence on the policy and decision makers The data presented comparatively considered three countries in Africa which include Kenya, Nigeria and South Africa which are randomly selected for the study in Africa. </w:t>
      </w:r>
    </w:p>
    <w:p w:rsidR="0026675E" w:rsidRPr="00A3326F" w:rsidRDefault="0026675E" w:rsidP="0026675E">
      <w:pPr>
        <w:jc w:val="both"/>
      </w:pPr>
    </w:p>
    <w:p w:rsidR="0026675E" w:rsidRPr="00AC5734" w:rsidRDefault="0026675E" w:rsidP="0026675E">
      <w:pPr>
        <w:rPr>
          <w:b/>
          <w:lang w:eastAsia="en-GB"/>
        </w:rPr>
      </w:pPr>
      <w:r w:rsidRPr="00AC5734">
        <w:rPr>
          <w:b/>
          <w:lang w:eastAsia="en-GB"/>
        </w:rPr>
        <w:t>Table III: Traditional leaders influence governing local community</w:t>
      </w:r>
    </w:p>
    <w:tbl>
      <w:tblPr>
        <w:tblStyle w:val="TableGrid"/>
        <w:tblW w:w="9242" w:type="dxa"/>
        <w:tblLook w:val="04A0"/>
      </w:tblPr>
      <w:tblGrid>
        <w:gridCol w:w="2310"/>
        <w:gridCol w:w="2310"/>
        <w:gridCol w:w="2311"/>
        <w:gridCol w:w="2311"/>
      </w:tblGrid>
      <w:tr w:rsidR="0026675E" w:rsidRPr="00F01479" w:rsidTr="00C370FB">
        <w:trPr>
          <w:trHeight w:val="255"/>
        </w:trPr>
        <w:tc>
          <w:tcPr>
            <w:tcW w:w="2310" w:type="dxa"/>
            <w:noWrap/>
            <w:hideMark/>
          </w:tcPr>
          <w:p w:rsidR="0026675E" w:rsidRPr="00F01479" w:rsidRDefault="0026675E" w:rsidP="00C370FB">
            <w:pPr>
              <w:rPr>
                <w:sz w:val="20"/>
                <w:szCs w:val="20"/>
                <w:lang w:eastAsia="en-GB"/>
              </w:rPr>
            </w:pPr>
            <w:r w:rsidRPr="00F01479">
              <w:rPr>
                <w:sz w:val="20"/>
                <w:szCs w:val="20"/>
                <w:lang w:eastAsia="en-GB"/>
              </w:rPr>
              <w:t>Traditional leaders influence governing local community</w:t>
            </w:r>
          </w:p>
        </w:tc>
        <w:tc>
          <w:tcPr>
            <w:tcW w:w="2310" w:type="dxa"/>
            <w:noWrap/>
            <w:hideMark/>
          </w:tcPr>
          <w:p w:rsidR="0026675E" w:rsidRPr="00F01479" w:rsidRDefault="0026675E" w:rsidP="00C370FB">
            <w:pPr>
              <w:rPr>
                <w:b/>
                <w:bCs/>
                <w:color w:val="000000"/>
                <w:sz w:val="20"/>
                <w:szCs w:val="20"/>
                <w:lang w:eastAsia="en-GB"/>
              </w:rPr>
            </w:pPr>
            <w:r w:rsidRPr="00F01479">
              <w:rPr>
                <w:b/>
                <w:bCs/>
                <w:color w:val="000000"/>
                <w:sz w:val="20"/>
                <w:szCs w:val="20"/>
                <w:lang w:eastAsia="en-GB"/>
              </w:rPr>
              <w:t>Kenya</w:t>
            </w:r>
          </w:p>
        </w:tc>
        <w:tc>
          <w:tcPr>
            <w:tcW w:w="2311" w:type="dxa"/>
            <w:noWrap/>
            <w:hideMark/>
          </w:tcPr>
          <w:p w:rsidR="0026675E" w:rsidRPr="00F01479" w:rsidRDefault="0026675E" w:rsidP="00C370FB">
            <w:pPr>
              <w:rPr>
                <w:b/>
                <w:bCs/>
                <w:color w:val="000000"/>
                <w:sz w:val="20"/>
                <w:szCs w:val="20"/>
                <w:lang w:eastAsia="en-GB"/>
              </w:rPr>
            </w:pPr>
            <w:r w:rsidRPr="00F01479">
              <w:rPr>
                <w:b/>
                <w:bCs/>
                <w:color w:val="000000"/>
                <w:sz w:val="20"/>
                <w:szCs w:val="20"/>
                <w:lang w:eastAsia="en-GB"/>
              </w:rPr>
              <w:t>Nigeria</w:t>
            </w:r>
          </w:p>
        </w:tc>
        <w:tc>
          <w:tcPr>
            <w:tcW w:w="2311" w:type="dxa"/>
            <w:noWrap/>
            <w:hideMark/>
          </w:tcPr>
          <w:p w:rsidR="0026675E" w:rsidRPr="00F01479" w:rsidRDefault="0026675E" w:rsidP="00C370FB">
            <w:pPr>
              <w:rPr>
                <w:b/>
                <w:bCs/>
                <w:color w:val="000000"/>
                <w:sz w:val="20"/>
                <w:szCs w:val="20"/>
                <w:lang w:eastAsia="en-GB"/>
              </w:rPr>
            </w:pPr>
            <w:r w:rsidRPr="00F01479">
              <w:rPr>
                <w:b/>
                <w:bCs/>
                <w:color w:val="000000"/>
                <w:sz w:val="20"/>
                <w:szCs w:val="20"/>
                <w:lang w:eastAsia="en-GB"/>
              </w:rPr>
              <w:t>South Africa</w:t>
            </w:r>
          </w:p>
        </w:tc>
      </w:tr>
      <w:tr w:rsidR="0026675E" w:rsidRPr="00F01479" w:rsidTr="00C370FB">
        <w:trPr>
          <w:trHeight w:val="255"/>
        </w:trPr>
        <w:tc>
          <w:tcPr>
            <w:tcW w:w="2310" w:type="dxa"/>
            <w:noWrap/>
            <w:hideMark/>
          </w:tcPr>
          <w:p w:rsidR="0026675E" w:rsidRPr="00F01479" w:rsidRDefault="0026675E" w:rsidP="00C370FB">
            <w:pPr>
              <w:rPr>
                <w:color w:val="000000"/>
                <w:sz w:val="20"/>
                <w:szCs w:val="20"/>
                <w:lang w:eastAsia="en-GB"/>
              </w:rPr>
            </w:pPr>
            <w:r w:rsidRPr="00F01479">
              <w:rPr>
                <w:color w:val="000000"/>
                <w:sz w:val="20"/>
                <w:szCs w:val="20"/>
                <w:lang w:eastAsia="en-GB"/>
              </w:rPr>
              <w:t>None</w:t>
            </w:r>
          </w:p>
        </w:tc>
        <w:tc>
          <w:tcPr>
            <w:tcW w:w="2310"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12.9</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8.8</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25.9</w:t>
            </w:r>
          </w:p>
        </w:tc>
      </w:tr>
      <w:tr w:rsidR="0026675E" w:rsidRPr="00F01479" w:rsidTr="00C370FB">
        <w:trPr>
          <w:trHeight w:val="255"/>
        </w:trPr>
        <w:tc>
          <w:tcPr>
            <w:tcW w:w="2310" w:type="dxa"/>
            <w:noWrap/>
            <w:hideMark/>
          </w:tcPr>
          <w:p w:rsidR="0026675E" w:rsidRPr="00F01479" w:rsidRDefault="0026675E" w:rsidP="00C370FB">
            <w:pPr>
              <w:rPr>
                <w:color w:val="000000"/>
                <w:sz w:val="20"/>
                <w:szCs w:val="20"/>
                <w:lang w:eastAsia="en-GB"/>
              </w:rPr>
            </w:pPr>
            <w:r w:rsidRPr="00F01479">
              <w:rPr>
                <w:color w:val="000000"/>
                <w:sz w:val="20"/>
                <w:szCs w:val="20"/>
                <w:lang w:eastAsia="en-GB"/>
              </w:rPr>
              <w:t>A small amount</w:t>
            </w:r>
          </w:p>
        </w:tc>
        <w:tc>
          <w:tcPr>
            <w:tcW w:w="2310"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30.6</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30.8</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22.1</w:t>
            </w:r>
          </w:p>
        </w:tc>
      </w:tr>
      <w:tr w:rsidR="0026675E" w:rsidRPr="00F01479" w:rsidTr="00C370FB">
        <w:trPr>
          <w:trHeight w:val="255"/>
        </w:trPr>
        <w:tc>
          <w:tcPr>
            <w:tcW w:w="2310" w:type="dxa"/>
            <w:noWrap/>
            <w:hideMark/>
          </w:tcPr>
          <w:p w:rsidR="0026675E" w:rsidRPr="00F01479" w:rsidRDefault="0026675E" w:rsidP="00C370FB">
            <w:pPr>
              <w:rPr>
                <w:color w:val="000000"/>
                <w:sz w:val="20"/>
                <w:szCs w:val="20"/>
                <w:lang w:eastAsia="en-GB"/>
              </w:rPr>
            </w:pPr>
            <w:r w:rsidRPr="00F01479">
              <w:rPr>
                <w:color w:val="000000"/>
                <w:sz w:val="20"/>
                <w:szCs w:val="20"/>
                <w:lang w:eastAsia="en-GB"/>
              </w:rPr>
              <w:t>Some</w:t>
            </w:r>
          </w:p>
        </w:tc>
        <w:tc>
          <w:tcPr>
            <w:tcW w:w="2310"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28</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31.3</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22.2</w:t>
            </w:r>
          </w:p>
        </w:tc>
      </w:tr>
      <w:tr w:rsidR="0026675E" w:rsidRPr="00F01479" w:rsidTr="00C370FB">
        <w:trPr>
          <w:trHeight w:val="255"/>
        </w:trPr>
        <w:tc>
          <w:tcPr>
            <w:tcW w:w="2310" w:type="dxa"/>
            <w:noWrap/>
            <w:hideMark/>
          </w:tcPr>
          <w:p w:rsidR="0026675E" w:rsidRPr="00F01479" w:rsidRDefault="0026675E" w:rsidP="00C370FB">
            <w:pPr>
              <w:rPr>
                <w:color w:val="000000"/>
                <w:sz w:val="20"/>
                <w:szCs w:val="20"/>
                <w:lang w:eastAsia="en-GB"/>
              </w:rPr>
            </w:pPr>
            <w:r w:rsidRPr="00F01479">
              <w:rPr>
                <w:color w:val="000000"/>
                <w:sz w:val="20"/>
                <w:szCs w:val="20"/>
                <w:lang w:eastAsia="en-GB"/>
              </w:rPr>
              <w:t>A great deal</w:t>
            </w:r>
          </w:p>
        </w:tc>
        <w:tc>
          <w:tcPr>
            <w:tcW w:w="2310"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18.1</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19</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9.8</w:t>
            </w:r>
          </w:p>
        </w:tc>
      </w:tr>
      <w:tr w:rsidR="0026675E" w:rsidRPr="00F01479" w:rsidTr="00C370FB">
        <w:trPr>
          <w:trHeight w:val="255"/>
        </w:trPr>
        <w:tc>
          <w:tcPr>
            <w:tcW w:w="2310" w:type="dxa"/>
            <w:noWrap/>
            <w:hideMark/>
          </w:tcPr>
          <w:p w:rsidR="0026675E" w:rsidRPr="00F01479" w:rsidRDefault="0026675E" w:rsidP="00C370FB">
            <w:pPr>
              <w:rPr>
                <w:color w:val="000000"/>
                <w:sz w:val="20"/>
                <w:szCs w:val="20"/>
                <w:lang w:eastAsia="en-GB"/>
              </w:rPr>
            </w:pPr>
            <w:r w:rsidRPr="00F01479">
              <w:rPr>
                <w:color w:val="000000"/>
                <w:sz w:val="20"/>
                <w:szCs w:val="20"/>
                <w:lang w:eastAsia="en-GB"/>
              </w:rPr>
              <w:t>Don't know</w:t>
            </w:r>
          </w:p>
        </w:tc>
        <w:tc>
          <w:tcPr>
            <w:tcW w:w="2310"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10.4</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10.1</w:t>
            </w:r>
          </w:p>
        </w:tc>
        <w:tc>
          <w:tcPr>
            <w:tcW w:w="2311" w:type="dxa"/>
            <w:noWrap/>
            <w:hideMark/>
          </w:tcPr>
          <w:p w:rsidR="0026675E" w:rsidRPr="00F01479" w:rsidRDefault="0026675E" w:rsidP="00C370FB">
            <w:pPr>
              <w:jc w:val="right"/>
              <w:rPr>
                <w:color w:val="000000"/>
                <w:sz w:val="20"/>
                <w:szCs w:val="20"/>
                <w:lang w:eastAsia="en-GB"/>
              </w:rPr>
            </w:pPr>
            <w:r w:rsidRPr="00F01479">
              <w:rPr>
                <w:color w:val="000000"/>
                <w:sz w:val="20"/>
                <w:szCs w:val="20"/>
                <w:lang w:eastAsia="en-GB"/>
              </w:rPr>
              <w:t>20</w:t>
            </w:r>
          </w:p>
        </w:tc>
      </w:tr>
    </w:tbl>
    <w:p w:rsidR="0026675E" w:rsidRPr="00AC5734" w:rsidRDefault="0026675E" w:rsidP="0026675E">
      <w:pPr>
        <w:rPr>
          <w:b/>
        </w:rPr>
      </w:pPr>
      <w:r w:rsidRPr="00AC5734">
        <w:rPr>
          <w:b/>
        </w:rPr>
        <w:t>Source: Afrobarometer database</w:t>
      </w:r>
    </w:p>
    <w:p w:rsidR="0026675E" w:rsidRPr="00AC5734" w:rsidRDefault="0026675E" w:rsidP="0026675E">
      <w:pPr>
        <w:rPr>
          <w:b/>
        </w:rPr>
      </w:pPr>
      <w:r w:rsidRPr="00AC5734">
        <w:rPr>
          <w:b/>
          <w:noProof/>
          <w:lang w:val="en-US" w:eastAsia="en-US"/>
        </w:rPr>
        <w:lastRenderedPageBreak/>
        <w:drawing>
          <wp:inline distT="0" distB="0" distL="0" distR="0">
            <wp:extent cx="5076825" cy="2743200"/>
            <wp:effectExtent l="19050" t="0" r="9525" b="0"/>
            <wp:docPr id="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6675E" w:rsidRPr="00AC5734" w:rsidRDefault="0026675E" w:rsidP="0026675E">
      <w:pPr>
        <w:rPr>
          <w:b/>
          <w:lang w:eastAsia="en-GB"/>
        </w:rPr>
      </w:pPr>
      <w:r w:rsidRPr="00AC5734">
        <w:rPr>
          <w:b/>
        </w:rPr>
        <w:t xml:space="preserve">Figure III: </w:t>
      </w:r>
      <w:r w:rsidRPr="00AC5734">
        <w:rPr>
          <w:b/>
          <w:lang w:eastAsia="en-GB"/>
        </w:rPr>
        <w:t>Traditional leaders influence governing local community</w:t>
      </w:r>
    </w:p>
    <w:p w:rsidR="0026675E" w:rsidRDefault="0026675E" w:rsidP="0026675E">
      <w:pPr>
        <w:jc w:val="both"/>
      </w:pPr>
      <w:r>
        <w:t xml:space="preserve">The table III and Figure III above present data on </w:t>
      </w:r>
      <w:r>
        <w:rPr>
          <w:lang w:eastAsia="en-GB"/>
        </w:rPr>
        <w:t>t</w:t>
      </w:r>
      <w:r w:rsidRPr="00A31EA7">
        <w:rPr>
          <w:lang w:eastAsia="en-GB"/>
        </w:rPr>
        <w:t xml:space="preserve">raditional leaders influence </w:t>
      </w:r>
      <w:r>
        <w:rPr>
          <w:lang w:eastAsia="en-GB"/>
        </w:rPr>
        <w:t xml:space="preserve">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 It is important to note that the local community is either the rural or the urban domain which the traditional leaders control within the ambient of the state law. The data presented comparatively considered three countries in Africa which include Kenya, Nigeria and South Africa which are randomly selected for the study in Africa. </w:t>
      </w:r>
    </w:p>
    <w:p w:rsidR="0026675E" w:rsidRPr="00AC5734" w:rsidRDefault="0026675E" w:rsidP="0026675E">
      <w:pPr>
        <w:jc w:val="both"/>
        <w:rPr>
          <w:b/>
          <w:bCs/>
          <w:color w:val="000000"/>
          <w:lang w:eastAsia="en-GB"/>
        </w:rPr>
      </w:pPr>
    </w:p>
    <w:p w:rsidR="0026675E" w:rsidRPr="00AC5734" w:rsidRDefault="0026675E" w:rsidP="0026675E">
      <w:pPr>
        <w:jc w:val="both"/>
        <w:rPr>
          <w:b/>
          <w:bCs/>
          <w:color w:val="000000"/>
          <w:lang w:eastAsia="en-GB"/>
        </w:rPr>
      </w:pPr>
      <w:r w:rsidRPr="00AC5734">
        <w:rPr>
          <w:b/>
          <w:bCs/>
          <w:color w:val="000000"/>
          <w:lang w:eastAsia="en-GB"/>
        </w:rPr>
        <w:t>Table IV: Influence of civic organizations and NGOs</w:t>
      </w:r>
    </w:p>
    <w:tbl>
      <w:tblPr>
        <w:tblStyle w:val="TableGrid"/>
        <w:tblW w:w="7393" w:type="dxa"/>
        <w:tblLook w:val="04A0"/>
      </w:tblPr>
      <w:tblGrid>
        <w:gridCol w:w="1848"/>
        <w:gridCol w:w="1848"/>
        <w:gridCol w:w="1848"/>
        <w:gridCol w:w="1849"/>
      </w:tblGrid>
      <w:tr w:rsidR="0026675E" w:rsidRPr="00AC5734" w:rsidTr="00C370FB">
        <w:trPr>
          <w:trHeight w:val="255"/>
        </w:trPr>
        <w:tc>
          <w:tcPr>
            <w:tcW w:w="1848" w:type="dxa"/>
            <w:noWrap/>
            <w:hideMark/>
          </w:tcPr>
          <w:p w:rsidR="0026675E" w:rsidRPr="003067C6" w:rsidRDefault="0026675E" w:rsidP="00C370FB">
            <w:pPr>
              <w:rPr>
                <w:sz w:val="24"/>
                <w:szCs w:val="24"/>
                <w:lang w:eastAsia="en-GB"/>
              </w:rPr>
            </w:pPr>
          </w:p>
        </w:tc>
        <w:tc>
          <w:tcPr>
            <w:tcW w:w="1848"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Kenya</w:t>
            </w:r>
          </w:p>
        </w:tc>
        <w:tc>
          <w:tcPr>
            <w:tcW w:w="1848"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Nigeria</w:t>
            </w:r>
          </w:p>
        </w:tc>
        <w:tc>
          <w:tcPr>
            <w:tcW w:w="1849"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South Africa</w:t>
            </w:r>
          </w:p>
        </w:tc>
      </w:tr>
      <w:tr w:rsidR="0026675E" w:rsidRPr="00AC5734" w:rsidTr="00C370FB">
        <w:trPr>
          <w:trHeight w:val="255"/>
        </w:trPr>
        <w:tc>
          <w:tcPr>
            <w:tcW w:w="1848"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Influence of civic organizations and NGOs</w:t>
            </w:r>
          </w:p>
        </w:tc>
        <w:tc>
          <w:tcPr>
            <w:tcW w:w="1848"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R4 2008/2009</w:t>
            </w:r>
          </w:p>
        </w:tc>
        <w:tc>
          <w:tcPr>
            <w:tcW w:w="1848"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R4 2008/2009</w:t>
            </w:r>
          </w:p>
        </w:tc>
        <w:tc>
          <w:tcPr>
            <w:tcW w:w="1849" w:type="dxa"/>
            <w:noWrap/>
            <w:hideMark/>
          </w:tcPr>
          <w:p w:rsidR="0026675E" w:rsidRPr="003067C6" w:rsidRDefault="0026675E" w:rsidP="00C370FB">
            <w:pPr>
              <w:rPr>
                <w:b/>
                <w:bCs/>
                <w:color w:val="000000"/>
                <w:sz w:val="24"/>
                <w:szCs w:val="24"/>
                <w:lang w:eastAsia="en-GB"/>
              </w:rPr>
            </w:pPr>
            <w:r w:rsidRPr="003067C6">
              <w:rPr>
                <w:b/>
                <w:bCs/>
                <w:color w:val="000000"/>
                <w:sz w:val="24"/>
                <w:szCs w:val="24"/>
                <w:lang w:eastAsia="en-GB"/>
              </w:rPr>
              <w:t>R4 2008/2009</w:t>
            </w:r>
          </w:p>
        </w:tc>
      </w:tr>
      <w:tr w:rsidR="0026675E" w:rsidRPr="00AC5734" w:rsidTr="00C370FB">
        <w:trPr>
          <w:trHeight w:val="255"/>
        </w:trPr>
        <w:tc>
          <w:tcPr>
            <w:tcW w:w="1848" w:type="dxa"/>
            <w:noWrap/>
            <w:hideMark/>
          </w:tcPr>
          <w:p w:rsidR="0026675E" w:rsidRPr="003067C6" w:rsidRDefault="0026675E" w:rsidP="00C370FB">
            <w:pPr>
              <w:rPr>
                <w:color w:val="000000"/>
                <w:sz w:val="24"/>
                <w:szCs w:val="24"/>
                <w:lang w:eastAsia="en-GB"/>
              </w:rPr>
            </w:pPr>
            <w:r w:rsidRPr="003067C6">
              <w:rPr>
                <w:color w:val="000000"/>
                <w:sz w:val="24"/>
                <w:szCs w:val="24"/>
                <w:lang w:eastAsia="en-GB"/>
              </w:rPr>
              <w:t>Far too little</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8</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10</w:t>
            </w:r>
          </w:p>
        </w:tc>
        <w:tc>
          <w:tcPr>
            <w:tcW w:w="1849"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13</w:t>
            </w:r>
          </w:p>
        </w:tc>
      </w:tr>
      <w:tr w:rsidR="0026675E" w:rsidRPr="00AC5734" w:rsidTr="00C370FB">
        <w:trPr>
          <w:trHeight w:val="255"/>
        </w:trPr>
        <w:tc>
          <w:tcPr>
            <w:tcW w:w="1848" w:type="dxa"/>
            <w:noWrap/>
            <w:hideMark/>
          </w:tcPr>
          <w:p w:rsidR="0026675E" w:rsidRPr="003067C6" w:rsidRDefault="0026675E" w:rsidP="00C370FB">
            <w:pPr>
              <w:rPr>
                <w:color w:val="000000"/>
                <w:sz w:val="24"/>
                <w:szCs w:val="24"/>
                <w:lang w:eastAsia="en-GB"/>
              </w:rPr>
            </w:pPr>
            <w:r w:rsidRPr="003067C6">
              <w:rPr>
                <w:color w:val="000000"/>
                <w:sz w:val="24"/>
                <w:szCs w:val="24"/>
                <w:lang w:eastAsia="en-GB"/>
              </w:rPr>
              <w:t>Somewhat too little</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16</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20</w:t>
            </w:r>
          </w:p>
        </w:tc>
        <w:tc>
          <w:tcPr>
            <w:tcW w:w="1849"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16</w:t>
            </w:r>
          </w:p>
        </w:tc>
      </w:tr>
      <w:tr w:rsidR="0026675E" w:rsidRPr="00AC5734" w:rsidTr="00C370FB">
        <w:trPr>
          <w:trHeight w:val="255"/>
        </w:trPr>
        <w:tc>
          <w:tcPr>
            <w:tcW w:w="1848" w:type="dxa"/>
            <w:noWrap/>
            <w:hideMark/>
          </w:tcPr>
          <w:p w:rsidR="0026675E" w:rsidRPr="003067C6" w:rsidRDefault="0026675E" w:rsidP="00C370FB">
            <w:pPr>
              <w:rPr>
                <w:color w:val="000000"/>
                <w:sz w:val="24"/>
                <w:szCs w:val="24"/>
                <w:lang w:eastAsia="en-GB"/>
              </w:rPr>
            </w:pPr>
            <w:r w:rsidRPr="003067C6">
              <w:rPr>
                <w:color w:val="000000"/>
                <w:sz w:val="24"/>
                <w:szCs w:val="24"/>
                <w:lang w:eastAsia="en-GB"/>
              </w:rPr>
              <w:t>About the right amount</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26</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24</w:t>
            </w:r>
          </w:p>
        </w:tc>
        <w:tc>
          <w:tcPr>
            <w:tcW w:w="1849"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20</w:t>
            </w:r>
          </w:p>
        </w:tc>
      </w:tr>
      <w:tr w:rsidR="0026675E" w:rsidRPr="00AC5734" w:rsidTr="00C370FB">
        <w:trPr>
          <w:trHeight w:val="255"/>
        </w:trPr>
        <w:tc>
          <w:tcPr>
            <w:tcW w:w="1848" w:type="dxa"/>
            <w:noWrap/>
            <w:hideMark/>
          </w:tcPr>
          <w:p w:rsidR="0026675E" w:rsidRPr="003067C6" w:rsidRDefault="0026675E" w:rsidP="00C370FB">
            <w:pPr>
              <w:rPr>
                <w:color w:val="000000"/>
                <w:sz w:val="24"/>
                <w:szCs w:val="24"/>
                <w:lang w:eastAsia="en-GB"/>
              </w:rPr>
            </w:pPr>
            <w:r w:rsidRPr="003067C6">
              <w:rPr>
                <w:color w:val="000000"/>
                <w:sz w:val="24"/>
                <w:szCs w:val="24"/>
                <w:lang w:eastAsia="en-GB"/>
              </w:rPr>
              <w:t>Somewhat too much</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14</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12</w:t>
            </w:r>
          </w:p>
        </w:tc>
        <w:tc>
          <w:tcPr>
            <w:tcW w:w="1849"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13</w:t>
            </w:r>
          </w:p>
        </w:tc>
      </w:tr>
      <w:tr w:rsidR="0026675E" w:rsidRPr="00AC5734" w:rsidTr="00C370FB">
        <w:trPr>
          <w:trHeight w:val="255"/>
        </w:trPr>
        <w:tc>
          <w:tcPr>
            <w:tcW w:w="1848" w:type="dxa"/>
            <w:noWrap/>
            <w:hideMark/>
          </w:tcPr>
          <w:p w:rsidR="0026675E" w:rsidRPr="003067C6" w:rsidRDefault="0026675E" w:rsidP="00C370FB">
            <w:pPr>
              <w:rPr>
                <w:color w:val="000000"/>
                <w:sz w:val="24"/>
                <w:szCs w:val="24"/>
                <w:lang w:eastAsia="en-GB"/>
              </w:rPr>
            </w:pPr>
            <w:r w:rsidRPr="003067C6">
              <w:rPr>
                <w:color w:val="000000"/>
                <w:sz w:val="24"/>
                <w:szCs w:val="24"/>
                <w:lang w:eastAsia="en-GB"/>
              </w:rPr>
              <w:t>Far too much</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8</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3</w:t>
            </w:r>
          </w:p>
        </w:tc>
        <w:tc>
          <w:tcPr>
            <w:tcW w:w="1849"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7</w:t>
            </w:r>
          </w:p>
        </w:tc>
      </w:tr>
      <w:tr w:rsidR="0026675E" w:rsidRPr="00AC5734" w:rsidTr="00C370FB">
        <w:trPr>
          <w:trHeight w:val="255"/>
        </w:trPr>
        <w:tc>
          <w:tcPr>
            <w:tcW w:w="1848" w:type="dxa"/>
            <w:noWrap/>
            <w:hideMark/>
          </w:tcPr>
          <w:p w:rsidR="0026675E" w:rsidRPr="003067C6" w:rsidRDefault="0026675E" w:rsidP="00C370FB">
            <w:pPr>
              <w:rPr>
                <w:color w:val="000000"/>
                <w:sz w:val="24"/>
                <w:szCs w:val="24"/>
                <w:lang w:eastAsia="en-GB"/>
              </w:rPr>
            </w:pPr>
            <w:r w:rsidRPr="003067C6">
              <w:rPr>
                <w:color w:val="000000"/>
                <w:sz w:val="24"/>
                <w:szCs w:val="24"/>
                <w:lang w:eastAsia="en-GB"/>
              </w:rPr>
              <w:t>Don't know</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26</w:t>
            </w:r>
          </w:p>
        </w:tc>
        <w:tc>
          <w:tcPr>
            <w:tcW w:w="1848"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32</w:t>
            </w:r>
          </w:p>
        </w:tc>
        <w:tc>
          <w:tcPr>
            <w:tcW w:w="1849" w:type="dxa"/>
            <w:noWrap/>
            <w:hideMark/>
          </w:tcPr>
          <w:p w:rsidR="0026675E" w:rsidRPr="003067C6" w:rsidRDefault="0026675E" w:rsidP="00C370FB">
            <w:pPr>
              <w:jc w:val="right"/>
              <w:rPr>
                <w:color w:val="000000"/>
                <w:sz w:val="24"/>
                <w:szCs w:val="24"/>
                <w:lang w:eastAsia="en-GB"/>
              </w:rPr>
            </w:pPr>
            <w:r w:rsidRPr="003067C6">
              <w:rPr>
                <w:color w:val="000000"/>
                <w:sz w:val="24"/>
                <w:szCs w:val="24"/>
                <w:lang w:eastAsia="en-GB"/>
              </w:rPr>
              <w:t>31</w:t>
            </w:r>
          </w:p>
        </w:tc>
      </w:tr>
    </w:tbl>
    <w:p w:rsidR="0026675E" w:rsidRPr="00AC5734" w:rsidRDefault="0026675E" w:rsidP="0026675E">
      <w:pPr>
        <w:rPr>
          <w:b/>
        </w:rPr>
      </w:pPr>
      <w:r w:rsidRPr="00AC5734">
        <w:rPr>
          <w:b/>
        </w:rPr>
        <w:t xml:space="preserve">Source: Afrobarometer database </w:t>
      </w:r>
    </w:p>
    <w:p w:rsidR="0026675E" w:rsidRPr="00AC5734" w:rsidRDefault="0026675E" w:rsidP="0026675E">
      <w:pPr>
        <w:rPr>
          <w:b/>
        </w:rPr>
      </w:pPr>
    </w:p>
    <w:p w:rsidR="0026675E" w:rsidRPr="00AC5734" w:rsidRDefault="0026675E" w:rsidP="0026675E">
      <w:pPr>
        <w:rPr>
          <w:b/>
        </w:rPr>
      </w:pPr>
      <w:r w:rsidRPr="00AC5734">
        <w:rPr>
          <w:b/>
          <w:noProof/>
          <w:lang w:val="en-US" w:eastAsia="en-US"/>
        </w:rPr>
        <w:lastRenderedPageBreak/>
        <w:drawing>
          <wp:inline distT="0" distB="0" distL="0" distR="0">
            <wp:extent cx="5731510" cy="2679667"/>
            <wp:effectExtent l="19050" t="0" r="21590" b="6383"/>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6675E" w:rsidRPr="00AC5734" w:rsidRDefault="0026675E" w:rsidP="0026675E">
      <w:pPr>
        <w:rPr>
          <w:b/>
          <w:bCs/>
          <w:color w:val="000000"/>
          <w:lang w:eastAsia="en-GB"/>
        </w:rPr>
      </w:pPr>
      <w:r w:rsidRPr="00AC5734">
        <w:rPr>
          <w:b/>
        </w:rPr>
        <w:t xml:space="preserve">Figure IV: </w:t>
      </w:r>
      <w:r w:rsidRPr="00AC5734">
        <w:rPr>
          <w:b/>
          <w:bCs/>
          <w:color w:val="000000"/>
          <w:lang w:eastAsia="en-GB"/>
        </w:rPr>
        <w:t>Influence of civic organizations and NGOs</w:t>
      </w:r>
    </w:p>
    <w:p w:rsidR="0026675E" w:rsidRDefault="0026675E" w:rsidP="0026675E">
      <w:pPr>
        <w:jc w:val="both"/>
      </w:pPr>
      <w:r>
        <w:t xml:space="preserve">The table IV and Figure IV above present data on </w:t>
      </w:r>
      <w:r>
        <w:rPr>
          <w:bCs/>
          <w:color w:val="000000"/>
          <w:lang w:eastAsia="en-GB"/>
        </w:rPr>
        <w:t>i</w:t>
      </w:r>
      <w:r w:rsidRPr="00F71B68">
        <w:rPr>
          <w:bCs/>
          <w:color w:val="000000"/>
          <w:lang w:eastAsia="en-GB"/>
        </w:rPr>
        <w:t xml:space="preserve">nfluence 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The data presented comparatively considered three countries in Africa which include Kenya, Nigeria and South Africa which are randomly selected for the study in Africa. </w:t>
      </w:r>
    </w:p>
    <w:p w:rsidR="0026675E" w:rsidRPr="00F71B68" w:rsidRDefault="0026675E" w:rsidP="0026675E">
      <w:pPr>
        <w:jc w:val="both"/>
      </w:pPr>
    </w:p>
    <w:p w:rsidR="0026675E" w:rsidRPr="00AC5734" w:rsidRDefault="0026675E" w:rsidP="0026675E">
      <w:pPr>
        <w:jc w:val="both"/>
        <w:rPr>
          <w:b/>
          <w:bCs/>
          <w:color w:val="000000"/>
          <w:lang w:eastAsia="en-GB"/>
        </w:rPr>
      </w:pPr>
      <w:r w:rsidRPr="00AC5734">
        <w:rPr>
          <w:b/>
          <w:bCs/>
          <w:color w:val="000000"/>
          <w:lang w:eastAsia="en-GB"/>
        </w:rPr>
        <w:t>Table V: Influence of international businesses and investors</w:t>
      </w:r>
    </w:p>
    <w:tbl>
      <w:tblPr>
        <w:tblStyle w:val="TableGrid"/>
        <w:tblW w:w="7393" w:type="dxa"/>
        <w:tblLook w:val="04A0"/>
      </w:tblPr>
      <w:tblGrid>
        <w:gridCol w:w="1848"/>
        <w:gridCol w:w="1848"/>
        <w:gridCol w:w="1848"/>
        <w:gridCol w:w="1849"/>
      </w:tblGrid>
      <w:tr w:rsidR="0026675E" w:rsidRPr="00AC5734" w:rsidTr="00C370FB">
        <w:trPr>
          <w:trHeight w:val="255"/>
        </w:trPr>
        <w:tc>
          <w:tcPr>
            <w:tcW w:w="1848" w:type="dxa"/>
            <w:noWrap/>
            <w:hideMark/>
          </w:tcPr>
          <w:p w:rsidR="0026675E" w:rsidRPr="00EB24E0" w:rsidRDefault="0026675E" w:rsidP="00C370FB">
            <w:pPr>
              <w:rPr>
                <w:sz w:val="24"/>
                <w:szCs w:val="24"/>
                <w:lang w:eastAsia="en-GB"/>
              </w:rPr>
            </w:pPr>
          </w:p>
        </w:tc>
        <w:tc>
          <w:tcPr>
            <w:tcW w:w="1848"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Kenya</w:t>
            </w:r>
          </w:p>
        </w:tc>
        <w:tc>
          <w:tcPr>
            <w:tcW w:w="1848"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Nigeria</w:t>
            </w:r>
          </w:p>
        </w:tc>
        <w:tc>
          <w:tcPr>
            <w:tcW w:w="1849"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South Africa</w:t>
            </w:r>
          </w:p>
        </w:tc>
      </w:tr>
      <w:tr w:rsidR="0026675E" w:rsidRPr="00AC5734" w:rsidTr="00C370FB">
        <w:trPr>
          <w:trHeight w:val="255"/>
        </w:trPr>
        <w:tc>
          <w:tcPr>
            <w:tcW w:w="1848"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Influence of international businesses and investors</w:t>
            </w:r>
          </w:p>
        </w:tc>
        <w:tc>
          <w:tcPr>
            <w:tcW w:w="1848"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R4 2008/2009</w:t>
            </w:r>
          </w:p>
        </w:tc>
        <w:tc>
          <w:tcPr>
            <w:tcW w:w="1848"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R4 2008/2009</w:t>
            </w:r>
          </w:p>
        </w:tc>
        <w:tc>
          <w:tcPr>
            <w:tcW w:w="1849" w:type="dxa"/>
            <w:noWrap/>
            <w:hideMark/>
          </w:tcPr>
          <w:p w:rsidR="0026675E" w:rsidRPr="00EB24E0" w:rsidRDefault="0026675E" w:rsidP="00C370FB">
            <w:pPr>
              <w:rPr>
                <w:b/>
                <w:bCs/>
                <w:color w:val="000000"/>
                <w:sz w:val="24"/>
                <w:szCs w:val="24"/>
                <w:lang w:eastAsia="en-GB"/>
              </w:rPr>
            </w:pPr>
            <w:r w:rsidRPr="00EB24E0">
              <w:rPr>
                <w:b/>
                <w:bCs/>
                <w:color w:val="000000"/>
                <w:sz w:val="24"/>
                <w:szCs w:val="24"/>
                <w:lang w:eastAsia="en-GB"/>
              </w:rPr>
              <w:t>R4 2008/2009</w:t>
            </w:r>
          </w:p>
        </w:tc>
      </w:tr>
      <w:tr w:rsidR="0026675E" w:rsidRPr="00AC5734" w:rsidTr="00C370FB">
        <w:trPr>
          <w:trHeight w:val="255"/>
        </w:trPr>
        <w:tc>
          <w:tcPr>
            <w:tcW w:w="1848" w:type="dxa"/>
            <w:noWrap/>
            <w:hideMark/>
          </w:tcPr>
          <w:p w:rsidR="0026675E" w:rsidRPr="00EB24E0" w:rsidRDefault="0026675E" w:rsidP="00C370FB">
            <w:pPr>
              <w:rPr>
                <w:color w:val="000000"/>
                <w:sz w:val="24"/>
                <w:szCs w:val="24"/>
                <w:lang w:eastAsia="en-GB"/>
              </w:rPr>
            </w:pPr>
            <w:r w:rsidRPr="00EB24E0">
              <w:rPr>
                <w:color w:val="000000"/>
                <w:sz w:val="24"/>
                <w:szCs w:val="24"/>
                <w:lang w:eastAsia="en-GB"/>
              </w:rPr>
              <w:t>Far too little</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8</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8</w:t>
            </w:r>
          </w:p>
        </w:tc>
        <w:tc>
          <w:tcPr>
            <w:tcW w:w="1849"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12</w:t>
            </w:r>
          </w:p>
        </w:tc>
      </w:tr>
      <w:tr w:rsidR="0026675E" w:rsidRPr="00AC5734" w:rsidTr="00C370FB">
        <w:trPr>
          <w:trHeight w:val="255"/>
        </w:trPr>
        <w:tc>
          <w:tcPr>
            <w:tcW w:w="1848" w:type="dxa"/>
            <w:noWrap/>
            <w:hideMark/>
          </w:tcPr>
          <w:p w:rsidR="0026675E" w:rsidRPr="00EB24E0" w:rsidRDefault="0026675E" w:rsidP="00C370FB">
            <w:pPr>
              <w:rPr>
                <w:color w:val="000000"/>
                <w:sz w:val="24"/>
                <w:szCs w:val="24"/>
                <w:lang w:eastAsia="en-GB"/>
              </w:rPr>
            </w:pPr>
            <w:r w:rsidRPr="00EB24E0">
              <w:rPr>
                <w:color w:val="000000"/>
                <w:sz w:val="24"/>
                <w:szCs w:val="24"/>
                <w:lang w:eastAsia="en-GB"/>
              </w:rPr>
              <w:t>Somewhat too little</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17</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21</w:t>
            </w:r>
          </w:p>
        </w:tc>
        <w:tc>
          <w:tcPr>
            <w:tcW w:w="1849"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15</w:t>
            </w:r>
          </w:p>
        </w:tc>
      </w:tr>
      <w:tr w:rsidR="0026675E" w:rsidRPr="00AC5734" w:rsidTr="00C370FB">
        <w:trPr>
          <w:trHeight w:val="255"/>
        </w:trPr>
        <w:tc>
          <w:tcPr>
            <w:tcW w:w="1848" w:type="dxa"/>
            <w:noWrap/>
            <w:hideMark/>
          </w:tcPr>
          <w:p w:rsidR="0026675E" w:rsidRPr="00EB24E0" w:rsidRDefault="0026675E" w:rsidP="00C370FB">
            <w:pPr>
              <w:rPr>
                <w:color w:val="000000"/>
                <w:sz w:val="24"/>
                <w:szCs w:val="24"/>
                <w:lang w:eastAsia="en-GB"/>
              </w:rPr>
            </w:pPr>
            <w:r w:rsidRPr="00EB24E0">
              <w:rPr>
                <w:color w:val="000000"/>
                <w:sz w:val="24"/>
                <w:szCs w:val="24"/>
                <w:lang w:eastAsia="en-GB"/>
              </w:rPr>
              <w:t>About the right amount</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25</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23</w:t>
            </w:r>
          </w:p>
        </w:tc>
        <w:tc>
          <w:tcPr>
            <w:tcW w:w="1849"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23</w:t>
            </w:r>
          </w:p>
        </w:tc>
      </w:tr>
      <w:tr w:rsidR="0026675E" w:rsidRPr="00AC5734" w:rsidTr="00C370FB">
        <w:trPr>
          <w:trHeight w:val="255"/>
        </w:trPr>
        <w:tc>
          <w:tcPr>
            <w:tcW w:w="1848" w:type="dxa"/>
            <w:noWrap/>
            <w:hideMark/>
          </w:tcPr>
          <w:p w:rsidR="0026675E" w:rsidRPr="00EB24E0" w:rsidRDefault="0026675E" w:rsidP="00C370FB">
            <w:pPr>
              <w:rPr>
                <w:color w:val="000000"/>
                <w:sz w:val="24"/>
                <w:szCs w:val="24"/>
                <w:lang w:eastAsia="en-GB"/>
              </w:rPr>
            </w:pPr>
            <w:r w:rsidRPr="00EB24E0">
              <w:rPr>
                <w:color w:val="000000"/>
                <w:sz w:val="24"/>
                <w:szCs w:val="24"/>
                <w:lang w:eastAsia="en-GB"/>
              </w:rPr>
              <w:t>Somewhat too much</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13</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11</w:t>
            </w:r>
          </w:p>
        </w:tc>
        <w:tc>
          <w:tcPr>
            <w:tcW w:w="1849"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13</w:t>
            </w:r>
          </w:p>
        </w:tc>
      </w:tr>
      <w:tr w:rsidR="0026675E" w:rsidRPr="00AC5734" w:rsidTr="00C370FB">
        <w:trPr>
          <w:trHeight w:val="255"/>
        </w:trPr>
        <w:tc>
          <w:tcPr>
            <w:tcW w:w="1848" w:type="dxa"/>
            <w:noWrap/>
            <w:hideMark/>
          </w:tcPr>
          <w:p w:rsidR="0026675E" w:rsidRPr="00EB24E0" w:rsidRDefault="0026675E" w:rsidP="00C370FB">
            <w:pPr>
              <w:rPr>
                <w:color w:val="000000"/>
                <w:sz w:val="24"/>
                <w:szCs w:val="24"/>
                <w:lang w:eastAsia="en-GB"/>
              </w:rPr>
            </w:pPr>
            <w:r w:rsidRPr="00EB24E0">
              <w:rPr>
                <w:color w:val="000000"/>
                <w:sz w:val="24"/>
                <w:szCs w:val="24"/>
                <w:lang w:eastAsia="en-GB"/>
              </w:rPr>
              <w:t>Far too much</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6</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4</w:t>
            </w:r>
          </w:p>
        </w:tc>
        <w:tc>
          <w:tcPr>
            <w:tcW w:w="1849"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7</w:t>
            </w:r>
          </w:p>
        </w:tc>
      </w:tr>
      <w:tr w:rsidR="0026675E" w:rsidRPr="00AC5734" w:rsidTr="00C370FB">
        <w:trPr>
          <w:trHeight w:val="255"/>
        </w:trPr>
        <w:tc>
          <w:tcPr>
            <w:tcW w:w="1848" w:type="dxa"/>
            <w:noWrap/>
            <w:hideMark/>
          </w:tcPr>
          <w:p w:rsidR="0026675E" w:rsidRPr="00EB24E0" w:rsidRDefault="0026675E" w:rsidP="00C370FB">
            <w:pPr>
              <w:rPr>
                <w:color w:val="000000"/>
                <w:sz w:val="24"/>
                <w:szCs w:val="24"/>
                <w:lang w:eastAsia="en-GB"/>
              </w:rPr>
            </w:pPr>
            <w:r w:rsidRPr="00EB24E0">
              <w:rPr>
                <w:color w:val="000000"/>
                <w:sz w:val="24"/>
                <w:szCs w:val="24"/>
                <w:lang w:eastAsia="en-GB"/>
              </w:rPr>
              <w:t>Don't know</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1</w:t>
            </w:r>
          </w:p>
        </w:tc>
        <w:tc>
          <w:tcPr>
            <w:tcW w:w="1848"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32</w:t>
            </w:r>
          </w:p>
        </w:tc>
        <w:tc>
          <w:tcPr>
            <w:tcW w:w="1849" w:type="dxa"/>
            <w:noWrap/>
            <w:hideMark/>
          </w:tcPr>
          <w:p w:rsidR="0026675E" w:rsidRPr="00EB24E0" w:rsidRDefault="0026675E" w:rsidP="00C370FB">
            <w:pPr>
              <w:jc w:val="right"/>
              <w:rPr>
                <w:color w:val="000000"/>
                <w:sz w:val="24"/>
                <w:szCs w:val="24"/>
                <w:lang w:eastAsia="en-GB"/>
              </w:rPr>
            </w:pPr>
            <w:r w:rsidRPr="00EB24E0">
              <w:rPr>
                <w:color w:val="000000"/>
                <w:sz w:val="24"/>
                <w:szCs w:val="24"/>
                <w:lang w:eastAsia="en-GB"/>
              </w:rPr>
              <w:t>30</w:t>
            </w:r>
          </w:p>
        </w:tc>
      </w:tr>
    </w:tbl>
    <w:p w:rsidR="0026675E" w:rsidRPr="00AC5734" w:rsidRDefault="0026675E" w:rsidP="0026675E">
      <w:pPr>
        <w:rPr>
          <w:b/>
        </w:rPr>
      </w:pPr>
      <w:r w:rsidRPr="00AC5734">
        <w:rPr>
          <w:b/>
        </w:rPr>
        <w:t>Source: Afrobarometer database</w:t>
      </w:r>
    </w:p>
    <w:p w:rsidR="0026675E" w:rsidRPr="00AC5734" w:rsidRDefault="0026675E" w:rsidP="0026675E">
      <w:pPr>
        <w:rPr>
          <w:b/>
        </w:rPr>
      </w:pPr>
      <w:r w:rsidRPr="00AC5734">
        <w:rPr>
          <w:b/>
          <w:noProof/>
          <w:lang w:val="en-US" w:eastAsia="en-US"/>
        </w:rPr>
        <w:lastRenderedPageBreak/>
        <w:drawing>
          <wp:inline distT="0" distB="0" distL="0" distR="0">
            <wp:extent cx="5467350" cy="2743200"/>
            <wp:effectExtent l="19050" t="0" r="19050" b="0"/>
            <wp:docPr id="1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6675E" w:rsidRPr="00AC5734" w:rsidRDefault="0026675E" w:rsidP="0026675E">
      <w:pPr>
        <w:rPr>
          <w:b/>
        </w:rPr>
      </w:pPr>
      <w:r w:rsidRPr="00AC5734">
        <w:rPr>
          <w:b/>
        </w:rPr>
        <w:t xml:space="preserve">Figure V: </w:t>
      </w:r>
      <w:r w:rsidRPr="00AC5734">
        <w:rPr>
          <w:b/>
          <w:bCs/>
          <w:color w:val="000000"/>
          <w:lang w:eastAsia="en-GB"/>
        </w:rPr>
        <w:t>Influence of international businesses and investors</w:t>
      </w:r>
    </w:p>
    <w:p w:rsidR="0026675E" w:rsidRDefault="0026675E" w:rsidP="0026675E">
      <w:pPr>
        <w:jc w:val="both"/>
      </w:pPr>
      <w:r>
        <w:t xml:space="preserve">The table V and Figure V above present data on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 xml:space="preserve">nd the decision making process in the polity. The data presented comparatively considered three countries in Africa which include Kenya, Nigeria and South Africa which are randomly selected for the study in Africa. </w:t>
      </w:r>
    </w:p>
    <w:p w:rsidR="0026675E" w:rsidRPr="00AC53A6" w:rsidRDefault="0026675E" w:rsidP="0026675E">
      <w:pPr>
        <w:jc w:val="both"/>
      </w:pPr>
    </w:p>
    <w:p w:rsidR="0026675E" w:rsidRPr="00AC5734" w:rsidRDefault="0026675E" w:rsidP="0026675E">
      <w:pPr>
        <w:rPr>
          <w:b/>
          <w:bCs/>
          <w:color w:val="000000"/>
          <w:lang w:eastAsia="en-GB"/>
        </w:rPr>
      </w:pPr>
      <w:r w:rsidRPr="00AC5734">
        <w:rPr>
          <w:b/>
          <w:bCs/>
          <w:color w:val="000000"/>
          <w:lang w:eastAsia="en-GB"/>
        </w:rPr>
        <w:t>Table VI: Influence of International donors and NGOs</w:t>
      </w:r>
    </w:p>
    <w:tbl>
      <w:tblPr>
        <w:tblStyle w:val="TableGrid"/>
        <w:tblW w:w="7393" w:type="dxa"/>
        <w:tblLook w:val="04A0"/>
      </w:tblPr>
      <w:tblGrid>
        <w:gridCol w:w="1848"/>
        <w:gridCol w:w="1848"/>
        <w:gridCol w:w="1848"/>
        <w:gridCol w:w="1849"/>
      </w:tblGrid>
      <w:tr w:rsidR="0026675E" w:rsidRPr="00AC5734" w:rsidTr="00C370FB">
        <w:trPr>
          <w:trHeight w:val="255"/>
        </w:trPr>
        <w:tc>
          <w:tcPr>
            <w:tcW w:w="1848" w:type="dxa"/>
            <w:noWrap/>
            <w:hideMark/>
          </w:tcPr>
          <w:p w:rsidR="0026675E" w:rsidRPr="00F13904" w:rsidRDefault="0026675E" w:rsidP="00C370FB">
            <w:pPr>
              <w:rPr>
                <w:sz w:val="24"/>
                <w:szCs w:val="24"/>
                <w:lang w:eastAsia="en-GB"/>
              </w:rPr>
            </w:pPr>
          </w:p>
        </w:tc>
        <w:tc>
          <w:tcPr>
            <w:tcW w:w="1848"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Kenya</w:t>
            </w:r>
          </w:p>
        </w:tc>
        <w:tc>
          <w:tcPr>
            <w:tcW w:w="1848"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Nigeria</w:t>
            </w:r>
          </w:p>
        </w:tc>
        <w:tc>
          <w:tcPr>
            <w:tcW w:w="1849"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South Africa</w:t>
            </w:r>
          </w:p>
        </w:tc>
      </w:tr>
      <w:tr w:rsidR="0026675E" w:rsidRPr="00AC5734" w:rsidTr="00C370FB">
        <w:trPr>
          <w:trHeight w:val="255"/>
        </w:trPr>
        <w:tc>
          <w:tcPr>
            <w:tcW w:w="1848"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Influence of International donors and NGOs</w:t>
            </w:r>
          </w:p>
        </w:tc>
        <w:tc>
          <w:tcPr>
            <w:tcW w:w="1848"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R4 2008/2009</w:t>
            </w:r>
          </w:p>
        </w:tc>
        <w:tc>
          <w:tcPr>
            <w:tcW w:w="1848"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R4 2008/2009</w:t>
            </w:r>
          </w:p>
        </w:tc>
        <w:tc>
          <w:tcPr>
            <w:tcW w:w="1849" w:type="dxa"/>
            <w:noWrap/>
            <w:hideMark/>
          </w:tcPr>
          <w:p w:rsidR="0026675E" w:rsidRPr="00F13904" w:rsidRDefault="0026675E" w:rsidP="00C370FB">
            <w:pPr>
              <w:rPr>
                <w:b/>
                <w:bCs/>
                <w:color w:val="000000"/>
                <w:sz w:val="24"/>
                <w:szCs w:val="24"/>
                <w:lang w:eastAsia="en-GB"/>
              </w:rPr>
            </w:pPr>
            <w:r w:rsidRPr="00F13904">
              <w:rPr>
                <w:b/>
                <w:bCs/>
                <w:color w:val="000000"/>
                <w:sz w:val="24"/>
                <w:szCs w:val="24"/>
                <w:lang w:eastAsia="en-GB"/>
              </w:rPr>
              <w:t>R4 2008/2009</w:t>
            </w:r>
          </w:p>
        </w:tc>
      </w:tr>
      <w:tr w:rsidR="0026675E" w:rsidRPr="00AC5734" w:rsidTr="00C370FB">
        <w:trPr>
          <w:trHeight w:val="255"/>
        </w:trPr>
        <w:tc>
          <w:tcPr>
            <w:tcW w:w="1848" w:type="dxa"/>
            <w:noWrap/>
            <w:hideMark/>
          </w:tcPr>
          <w:p w:rsidR="0026675E" w:rsidRPr="00F13904" w:rsidRDefault="0026675E" w:rsidP="00C370FB">
            <w:pPr>
              <w:rPr>
                <w:color w:val="000000"/>
                <w:sz w:val="24"/>
                <w:szCs w:val="24"/>
                <w:lang w:eastAsia="en-GB"/>
              </w:rPr>
            </w:pPr>
            <w:r w:rsidRPr="00F13904">
              <w:rPr>
                <w:color w:val="000000"/>
                <w:sz w:val="24"/>
                <w:szCs w:val="24"/>
                <w:lang w:eastAsia="en-GB"/>
              </w:rPr>
              <w:t>Far too little</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7</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10</w:t>
            </w:r>
          </w:p>
        </w:tc>
        <w:tc>
          <w:tcPr>
            <w:tcW w:w="1849"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11</w:t>
            </w:r>
          </w:p>
        </w:tc>
      </w:tr>
      <w:tr w:rsidR="0026675E" w:rsidRPr="00AC5734" w:rsidTr="00C370FB">
        <w:trPr>
          <w:trHeight w:val="255"/>
        </w:trPr>
        <w:tc>
          <w:tcPr>
            <w:tcW w:w="1848" w:type="dxa"/>
            <w:noWrap/>
            <w:hideMark/>
          </w:tcPr>
          <w:p w:rsidR="0026675E" w:rsidRPr="00F13904" w:rsidRDefault="0026675E" w:rsidP="00C370FB">
            <w:pPr>
              <w:rPr>
                <w:color w:val="000000"/>
                <w:sz w:val="24"/>
                <w:szCs w:val="24"/>
                <w:lang w:eastAsia="en-GB"/>
              </w:rPr>
            </w:pPr>
            <w:r w:rsidRPr="00F13904">
              <w:rPr>
                <w:color w:val="000000"/>
                <w:sz w:val="24"/>
                <w:szCs w:val="24"/>
                <w:lang w:eastAsia="en-GB"/>
              </w:rPr>
              <w:t>Somewhat too little</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18</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21</w:t>
            </w:r>
          </w:p>
        </w:tc>
        <w:tc>
          <w:tcPr>
            <w:tcW w:w="1849"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16</w:t>
            </w:r>
          </w:p>
        </w:tc>
      </w:tr>
      <w:tr w:rsidR="0026675E" w:rsidRPr="00AC5734" w:rsidTr="00C370FB">
        <w:trPr>
          <w:trHeight w:val="255"/>
        </w:trPr>
        <w:tc>
          <w:tcPr>
            <w:tcW w:w="1848" w:type="dxa"/>
            <w:noWrap/>
            <w:hideMark/>
          </w:tcPr>
          <w:p w:rsidR="0026675E" w:rsidRPr="00F13904" w:rsidRDefault="0026675E" w:rsidP="00C370FB">
            <w:pPr>
              <w:rPr>
                <w:color w:val="000000"/>
                <w:sz w:val="24"/>
                <w:szCs w:val="24"/>
                <w:lang w:eastAsia="en-GB"/>
              </w:rPr>
            </w:pPr>
            <w:r w:rsidRPr="00F13904">
              <w:rPr>
                <w:color w:val="000000"/>
                <w:sz w:val="24"/>
                <w:szCs w:val="24"/>
                <w:lang w:eastAsia="en-GB"/>
              </w:rPr>
              <w:t>About the right amount</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25</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23</w:t>
            </w:r>
          </w:p>
        </w:tc>
        <w:tc>
          <w:tcPr>
            <w:tcW w:w="1849"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22</w:t>
            </w:r>
          </w:p>
        </w:tc>
      </w:tr>
      <w:tr w:rsidR="0026675E" w:rsidRPr="00AC5734" w:rsidTr="00C370FB">
        <w:trPr>
          <w:trHeight w:val="255"/>
        </w:trPr>
        <w:tc>
          <w:tcPr>
            <w:tcW w:w="1848" w:type="dxa"/>
            <w:noWrap/>
            <w:hideMark/>
          </w:tcPr>
          <w:p w:rsidR="0026675E" w:rsidRPr="00F13904" w:rsidRDefault="0026675E" w:rsidP="00C370FB">
            <w:pPr>
              <w:rPr>
                <w:color w:val="000000"/>
                <w:sz w:val="24"/>
                <w:szCs w:val="24"/>
                <w:lang w:eastAsia="en-GB"/>
              </w:rPr>
            </w:pPr>
            <w:r w:rsidRPr="00F13904">
              <w:rPr>
                <w:color w:val="000000"/>
                <w:sz w:val="24"/>
                <w:szCs w:val="24"/>
                <w:lang w:eastAsia="en-GB"/>
              </w:rPr>
              <w:t>Somewhat too much</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16</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10</w:t>
            </w:r>
          </w:p>
        </w:tc>
        <w:tc>
          <w:tcPr>
            <w:tcW w:w="1849"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13</w:t>
            </w:r>
          </w:p>
        </w:tc>
      </w:tr>
      <w:tr w:rsidR="0026675E" w:rsidRPr="00AC5734" w:rsidTr="00C370FB">
        <w:trPr>
          <w:trHeight w:val="255"/>
        </w:trPr>
        <w:tc>
          <w:tcPr>
            <w:tcW w:w="1848" w:type="dxa"/>
            <w:noWrap/>
            <w:hideMark/>
          </w:tcPr>
          <w:p w:rsidR="0026675E" w:rsidRPr="00F13904" w:rsidRDefault="0026675E" w:rsidP="00C370FB">
            <w:pPr>
              <w:rPr>
                <w:color w:val="000000"/>
                <w:sz w:val="24"/>
                <w:szCs w:val="24"/>
                <w:lang w:eastAsia="en-GB"/>
              </w:rPr>
            </w:pPr>
            <w:r w:rsidRPr="00F13904">
              <w:rPr>
                <w:color w:val="000000"/>
                <w:sz w:val="24"/>
                <w:szCs w:val="24"/>
                <w:lang w:eastAsia="en-GB"/>
              </w:rPr>
              <w:t>Far too much</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7</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4</w:t>
            </w:r>
          </w:p>
        </w:tc>
        <w:tc>
          <w:tcPr>
            <w:tcW w:w="1849"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5</w:t>
            </w:r>
          </w:p>
        </w:tc>
      </w:tr>
      <w:tr w:rsidR="0026675E" w:rsidRPr="00AC5734" w:rsidTr="00C370FB">
        <w:trPr>
          <w:trHeight w:val="255"/>
        </w:trPr>
        <w:tc>
          <w:tcPr>
            <w:tcW w:w="1848" w:type="dxa"/>
            <w:noWrap/>
            <w:hideMark/>
          </w:tcPr>
          <w:p w:rsidR="0026675E" w:rsidRPr="00F13904" w:rsidRDefault="0026675E" w:rsidP="00C370FB">
            <w:pPr>
              <w:rPr>
                <w:color w:val="000000"/>
                <w:sz w:val="24"/>
                <w:szCs w:val="24"/>
                <w:lang w:eastAsia="en-GB"/>
              </w:rPr>
            </w:pPr>
            <w:r w:rsidRPr="00F13904">
              <w:rPr>
                <w:color w:val="000000"/>
                <w:sz w:val="24"/>
                <w:szCs w:val="24"/>
                <w:lang w:eastAsia="en-GB"/>
              </w:rPr>
              <w:t>Don't know</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27</w:t>
            </w:r>
          </w:p>
        </w:tc>
        <w:tc>
          <w:tcPr>
            <w:tcW w:w="1848"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31</w:t>
            </w:r>
          </w:p>
        </w:tc>
        <w:tc>
          <w:tcPr>
            <w:tcW w:w="1849" w:type="dxa"/>
            <w:noWrap/>
            <w:hideMark/>
          </w:tcPr>
          <w:p w:rsidR="0026675E" w:rsidRPr="00F13904" w:rsidRDefault="0026675E" w:rsidP="00C370FB">
            <w:pPr>
              <w:jc w:val="right"/>
              <w:rPr>
                <w:color w:val="000000"/>
                <w:sz w:val="24"/>
                <w:szCs w:val="24"/>
                <w:lang w:eastAsia="en-GB"/>
              </w:rPr>
            </w:pPr>
            <w:r w:rsidRPr="00F13904">
              <w:rPr>
                <w:color w:val="000000"/>
                <w:sz w:val="24"/>
                <w:szCs w:val="24"/>
                <w:lang w:eastAsia="en-GB"/>
              </w:rPr>
              <w:t>33</w:t>
            </w:r>
          </w:p>
        </w:tc>
      </w:tr>
    </w:tbl>
    <w:p w:rsidR="0026675E" w:rsidRPr="00AC5734" w:rsidRDefault="0026675E" w:rsidP="0026675E">
      <w:pPr>
        <w:rPr>
          <w:b/>
        </w:rPr>
      </w:pPr>
      <w:r w:rsidRPr="00AC5734">
        <w:rPr>
          <w:b/>
        </w:rPr>
        <w:t>Source: Afrobarometer database</w:t>
      </w:r>
    </w:p>
    <w:p w:rsidR="0026675E" w:rsidRPr="00AC5734" w:rsidRDefault="0026675E" w:rsidP="0026675E">
      <w:pPr>
        <w:rPr>
          <w:b/>
        </w:rPr>
      </w:pPr>
      <w:r w:rsidRPr="00AC5734">
        <w:rPr>
          <w:b/>
          <w:noProof/>
          <w:lang w:val="en-US" w:eastAsia="en-US"/>
        </w:rPr>
        <w:lastRenderedPageBreak/>
        <w:drawing>
          <wp:inline distT="0" distB="0" distL="0" distR="0">
            <wp:extent cx="5410200" cy="2743200"/>
            <wp:effectExtent l="19050" t="0" r="19050" b="0"/>
            <wp:docPr id="1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6675E" w:rsidRPr="00AC5734" w:rsidRDefault="0026675E" w:rsidP="0026675E">
      <w:pPr>
        <w:rPr>
          <w:b/>
        </w:rPr>
      </w:pPr>
      <w:r w:rsidRPr="00AC5734">
        <w:rPr>
          <w:b/>
        </w:rPr>
        <w:t xml:space="preserve">Figure VI: </w:t>
      </w:r>
      <w:r w:rsidRPr="00AC5734">
        <w:rPr>
          <w:b/>
          <w:bCs/>
          <w:color w:val="000000"/>
          <w:lang w:eastAsia="en-GB"/>
        </w:rPr>
        <w:t>Influence of International donors and NGOs</w:t>
      </w:r>
    </w:p>
    <w:p w:rsidR="0026675E" w:rsidRDefault="0026675E" w:rsidP="0026675E">
      <w:pPr>
        <w:jc w:val="both"/>
      </w:pPr>
      <w:r>
        <w:t xml:space="preserve">The table VI and Figure VI above present data on the </w:t>
      </w:r>
      <w:r>
        <w:rPr>
          <w:bCs/>
          <w:color w:val="000000"/>
          <w:lang w:eastAsia="en-GB"/>
        </w:rPr>
        <w:t>i</w:t>
      </w:r>
      <w:r w:rsidRPr="00AC53A6">
        <w:rPr>
          <w:bCs/>
          <w:color w:val="000000"/>
          <w:lang w:eastAsia="en-GB"/>
        </w:rPr>
        <w:t xml:space="preserve">nfluence of International donors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on policy a</w:t>
      </w:r>
      <w:r>
        <w:t xml:space="preserve">nd the decision making process in the polity. The data presented comparatively considered three countries in Africa which include Kenya, Nigeria and South Africa which are randomly selected for the study in Africa. </w:t>
      </w:r>
    </w:p>
    <w:p w:rsidR="0026675E" w:rsidRPr="00AC5734" w:rsidRDefault="0026675E" w:rsidP="0026675E">
      <w:pPr>
        <w:rPr>
          <w:b/>
        </w:rPr>
      </w:pPr>
    </w:p>
    <w:p w:rsidR="0026675E" w:rsidRPr="00AC5734" w:rsidRDefault="0026675E" w:rsidP="0026675E">
      <w:pPr>
        <w:jc w:val="center"/>
        <w:rPr>
          <w:b/>
        </w:rPr>
      </w:pPr>
      <w:r w:rsidRPr="00AC5734">
        <w:rPr>
          <w:b/>
        </w:rPr>
        <w:t>ANALYSIS OF FINDINGS</w:t>
      </w:r>
    </w:p>
    <w:p w:rsidR="0026675E" w:rsidRDefault="0026675E" w:rsidP="0026675E">
      <w:pPr>
        <w:jc w:val="both"/>
      </w:pPr>
      <w:r>
        <w:t>From the table I and Figure I above, about twenty four percent (24%) of Kenyans believes that ethnic groups have much significant political influence on the polity (a combination of much more and more). Thirty six percent (36%) of the populace opined that ethnic groups have same level of influence on the polity just like other state or non state groups while thirty eight percent (38%) perceived that ethnic groups in Kenya have less significant political influence on the polity (a combination of less and much less). This implies that the ethnic groups in Kenya have some level of significant impact on the policy makers on both formal and backdoor politics informal levels.</w:t>
      </w:r>
    </w:p>
    <w:p w:rsidR="0026675E" w:rsidRDefault="0026675E" w:rsidP="0026675E">
      <w:pPr>
        <w:jc w:val="both"/>
      </w:pPr>
      <w:r>
        <w:t>Slightly like Kenya,</w:t>
      </w:r>
      <w:r w:rsidRPr="005039C7">
        <w:t xml:space="preserve"> about thirty percent (30%) of Nigerians believes that ethnic groups have much significant political influence on the polity (a combination of much more and more). Thirty eight percent (38%) of the populace opined that ethnic groups have same level of influence on the polity just like other state or non state groups while twenty eight percent (28%) perceived that ethnic groups in </w:t>
      </w:r>
      <w:r>
        <w:t>Ni</w:t>
      </w:r>
      <w:r w:rsidRPr="005039C7">
        <w:t xml:space="preserve">geria have less significant political influence on the polity (a combination of less and much less). This implies that the ethnic groups in Nigeria have much significant level of impact on the policy makers on both formal and </w:t>
      </w:r>
      <w:r>
        <w:t>backdoor politics</w:t>
      </w:r>
      <w:r w:rsidRPr="005039C7">
        <w:t xml:space="preserve"> informal levels.</w:t>
      </w:r>
    </w:p>
    <w:p w:rsidR="0026675E" w:rsidRDefault="0026675E" w:rsidP="0026675E">
      <w:pPr>
        <w:jc w:val="both"/>
      </w:pPr>
      <w:r>
        <w:t xml:space="preserve">Unlike Nigeria, in the Republic of South Africa, </w:t>
      </w:r>
      <w:r w:rsidRPr="005039C7">
        <w:t xml:space="preserve">about sixteen percent (16%) of Nigerians believes that ethnic groups have much significant political influence on the polity (a combination of much more and more). Forty one percent (41%) of the populace opined that ethnic groups have same level of influence on the polity just like other state or non state groups while twenty percent (20%) perceived that ethnic groups in Nigeria have less significant political influence on the polity (a combination of less and much less). This implies that the </w:t>
      </w:r>
      <w:r w:rsidRPr="005039C7">
        <w:lastRenderedPageBreak/>
        <w:t xml:space="preserve">ethnic groups in South Africa have less significant level of impact on the policy makers on both formal and </w:t>
      </w:r>
      <w:r>
        <w:t>backdoor politics</w:t>
      </w:r>
      <w:r w:rsidRPr="005039C7">
        <w:t xml:space="preserve"> informal levels.</w:t>
      </w:r>
    </w:p>
    <w:p w:rsidR="0026675E" w:rsidRDefault="0026675E" w:rsidP="0026675E">
      <w:pPr>
        <w:jc w:val="both"/>
      </w:pPr>
      <w:r>
        <w:t>From the table II and Figure II above, about seven percent (7%) of Kenyans opines that officials of the state never go unpunished regardless of their status while thirteen percent (13%) perceived that they rarely go unpunished. However, thirty seven percent (37%) and thirty nine percent (39%) respectively which are significant percents perceived that officials of the state often and always go unpunished respectively. This implies that the officials of the state in Kenya have a high level of significant impact on the policy makers on both formal levels and the backdoor politics informal order.</w:t>
      </w:r>
    </w:p>
    <w:p w:rsidR="0026675E" w:rsidRDefault="0026675E" w:rsidP="0026675E">
      <w:pPr>
        <w:jc w:val="both"/>
      </w:pPr>
      <w:r>
        <w:t>Slightly like the state officials influence in Kenya polity, the table II and Figure II above reveals that about eleven percent (11%) of Nigerians opines that officials of the state never go unpunished regardless of their status while nineteen percent (19%) perceived that they rarely go unpunished. However, thirty three percent (33%) and thirty five percent (35%) respectively which are significant percents perceived that officials of the state often and always go unpunished respectively. This implies that the officials of the state in Nigeria have high level of significant impact on the policy makers on both formal levels and the backdoor politics informal order.</w:t>
      </w:r>
    </w:p>
    <w:p w:rsidR="0026675E" w:rsidRDefault="0026675E" w:rsidP="0026675E">
      <w:pPr>
        <w:jc w:val="both"/>
      </w:pPr>
      <w:r>
        <w:t>Slightly unlike the state officials influence in Kenya and Nigeria polity, the table II and Figure II above reveals that about nineteen percent (19%) of South Africans opines that officials of the state never go unpunished regardless of their status while twenty three percent (23%) perceived that they rarely go unpunished. However, thirty eight percent (38%) and eighteen percent (18%) respectively which are slightly significant percents perceived that officials of the state often and always go unpunished respectively. This implies that the officials of the state in South Africa have high level of significant impact on the policy makers on both formal levels and the backdoor politics informal order.</w:t>
      </w:r>
    </w:p>
    <w:p w:rsidR="0026675E" w:rsidRDefault="0026675E" w:rsidP="0026675E">
      <w:pPr>
        <w:jc w:val="both"/>
      </w:pPr>
      <w:r>
        <w:t xml:space="preserve">From the table III and Figure III above, about thirteen percent (13%) of Kenyans perceived that the traditional leaders have no </w:t>
      </w:r>
      <w:r w:rsidRPr="00A31EA7">
        <w:rPr>
          <w:lang w:eastAsia="en-GB"/>
        </w:rPr>
        <w:t xml:space="preserve">influence </w:t>
      </w:r>
      <w:r>
        <w:rPr>
          <w:lang w:eastAsia="en-GB"/>
        </w:rPr>
        <w:t xml:space="preserve">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processes. About thirty one percent (31%) however opined that they have a small amount of influence of both formal and informal (backdoor politics) order 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processes. Also, twenty eight percent (28%) and eighteen percent (18%) respectively perceived that the traditional leaders have some level of influence and a great deal of influence respectively in the </w:t>
      </w:r>
      <w:r w:rsidRPr="00A31EA7">
        <w:rPr>
          <w:lang w:eastAsia="en-GB"/>
        </w:rPr>
        <w:t xml:space="preserve">governing </w:t>
      </w:r>
      <w:r>
        <w:rPr>
          <w:lang w:eastAsia="en-GB"/>
        </w:rPr>
        <w:t xml:space="preserve">of the </w:t>
      </w:r>
      <w:r w:rsidRPr="00A31EA7">
        <w:rPr>
          <w:lang w:eastAsia="en-GB"/>
        </w:rPr>
        <w:t>local community</w:t>
      </w:r>
      <w:r>
        <w:t xml:space="preserve"> policy and the decision making processes. This generally implies that the traditional leaders have a significant level of impact on the polity from both the formal and the informal (backdoor politics) level Kenya.</w:t>
      </w:r>
    </w:p>
    <w:p w:rsidR="0026675E" w:rsidRDefault="0026675E" w:rsidP="0026675E">
      <w:pPr>
        <w:jc w:val="both"/>
      </w:pPr>
      <w:r>
        <w:t xml:space="preserve">However like Kenya, about eight percent (8%) of Nigerians perceived that the traditional leaders have no </w:t>
      </w:r>
      <w:r w:rsidRPr="00A31EA7">
        <w:rPr>
          <w:lang w:eastAsia="en-GB"/>
        </w:rPr>
        <w:t xml:space="preserve">influence </w:t>
      </w:r>
      <w:r>
        <w:rPr>
          <w:lang w:eastAsia="en-GB"/>
        </w:rPr>
        <w:t xml:space="preserve">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processes. About thirty one percent (31%) however opined that they have a small amount of influence of both formal and informal (backdoor politics) order 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processes. Also, nineteen percent (19%) and ten percent (10%) respectively perceived that the traditional leaders have some level of influence and a great deal of influence respectively in the </w:t>
      </w:r>
      <w:r w:rsidRPr="00A31EA7">
        <w:rPr>
          <w:lang w:eastAsia="en-GB"/>
        </w:rPr>
        <w:t xml:space="preserve">governing </w:t>
      </w:r>
      <w:r>
        <w:rPr>
          <w:lang w:eastAsia="en-GB"/>
        </w:rPr>
        <w:t xml:space="preserve">of the </w:t>
      </w:r>
      <w:r w:rsidRPr="00A31EA7">
        <w:rPr>
          <w:lang w:eastAsia="en-GB"/>
        </w:rPr>
        <w:t>local community</w:t>
      </w:r>
      <w:r>
        <w:t xml:space="preserve"> policy and the decision making processes. This generally implies that the traditional leaders have a significant level of impact on the polity from both the formal and the informal (backdoor politics) level in Nigeria.</w:t>
      </w:r>
    </w:p>
    <w:p w:rsidR="0026675E" w:rsidRDefault="0026675E" w:rsidP="0026675E">
      <w:pPr>
        <w:jc w:val="both"/>
      </w:pPr>
      <w:r>
        <w:lastRenderedPageBreak/>
        <w:t xml:space="preserve">However like unlike Kenya and Nigeria, about twenty six percent (26%) of South Africans perceived that the traditional leaders have no </w:t>
      </w:r>
      <w:r w:rsidRPr="00A31EA7">
        <w:rPr>
          <w:lang w:eastAsia="en-GB"/>
        </w:rPr>
        <w:t xml:space="preserve">influence </w:t>
      </w:r>
      <w:r>
        <w:rPr>
          <w:lang w:eastAsia="en-GB"/>
        </w:rPr>
        <w:t xml:space="preserve">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processes. About twenty two percent (22%) however opined that they have a small amount of influence of both formal and informal (backdoor politics) order in </w:t>
      </w:r>
      <w:r w:rsidRPr="00A31EA7">
        <w:rPr>
          <w:lang w:eastAsia="en-GB"/>
        </w:rPr>
        <w:t xml:space="preserve">governing </w:t>
      </w:r>
      <w:r>
        <w:rPr>
          <w:lang w:eastAsia="en-GB"/>
        </w:rPr>
        <w:t xml:space="preserve">the </w:t>
      </w:r>
      <w:r w:rsidRPr="00A31EA7">
        <w:rPr>
          <w:lang w:eastAsia="en-GB"/>
        </w:rPr>
        <w:t>local community</w:t>
      </w:r>
      <w:r>
        <w:t xml:space="preserve"> policy and the decision making processes. Also, twenty two percent (22%) and ten percent (10%) respectively perceived that the traditional leaders have some level of influence and a great deal of influence respectively in the </w:t>
      </w:r>
      <w:r w:rsidRPr="00A31EA7">
        <w:rPr>
          <w:lang w:eastAsia="en-GB"/>
        </w:rPr>
        <w:t xml:space="preserve">governing </w:t>
      </w:r>
      <w:r>
        <w:rPr>
          <w:lang w:eastAsia="en-GB"/>
        </w:rPr>
        <w:t xml:space="preserve">of the </w:t>
      </w:r>
      <w:r w:rsidRPr="00A31EA7">
        <w:rPr>
          <w:lang w:eastAsia="en-GB"/>
        </w:rPr>
        <w:t>local community</w:t>
      </w:r>
      <w:r>
        <w:t xml:space="preserve"> policy and the decision making processes. This generally implies that the traditional leaders have a significant level of impact on the polity from both the formal and the informal (backdoor politics) level in South Africa.</w:t>
      </w:r>
    </w:p>
    <w:p w:rsidR="0026675E" w:rsidRDefault="0026675E" w:rsidP="0026675E">
      <w:pPr>
        <w:jc w:val="both"/>
      </w:pPr>
      <w:r>
        <w:t xml:space="preserve">From the table IV and Figure IV above, it is perceived by about twenty four percent (24%) of Kenyans that the level of </w:t>
      </w:r>
      <w:r>
        <w:rPr>
          <w:bCs/>
          <w:color w:val="000000"/>
          <w:lang w:eastAsia="en-GB"/>
        </w:rPr>
        <w:t>i</w:t>
      </w:r>
      <w:r w:rsidRPr="00F71B68">
        <w:rPr>
          <w:bCs/>
          <w:color w:val="000000"/>
          <w:lang w:eastAsia="en-GB"/>
        </w:rPr>
        <w:t xml:space="preserve">nfluence 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is slightly too little (a combination of far too little and somewhat too little) . However, another twenty six percent (26%) perceived it as about the right amount of influence on the polity on both formal and the informalities. Also about twenty two percent (22%) a combination of somewhat too much and far too much opined that the level of influence </w:t>
      </w:r>
      <w:r w:rsidRPr="00F71B68">
        <w:rPr>
          <w:bCs/>
          <w:color w:val="000000"/>
          <w:lang w:eastAsia="en-GB"/>
        </w:rPr>
        <w:t xml:space="preserve">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is very significant. It is important to remark that the impact of the </w:t>
      </w:r>
      <w:r w:rsidRPr="00F71B68">
        <w:rPr>
          <w:bCs/>
          <w:color w:val="000000"/>
          <w:lang w:eastAsia="en-GB"/>
        </w:rPr>
        <w:t xml:space="preserve">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Kenya is very significant.</w:t>
      </w:r>
    </w:p>
    <w:p w:rsidR="0026675E" w:rsidRDefault="0026675E" w:rsidP="0026675E">
      <w:pPr>
        <w:jc w:val="both"/>
      </w:pPr>
      <w:r>
        <w:t xml:space="preserve">In Nigeria however, the table IV and Figure IV above shows that about thirty percent (30%) opined that the level of </w:t>
      </w:r>
      <w:r>
        <w:rPr>
          <w:bCs/>
          <w:color w:val="000000"/>
          <w:lang w:eastAsia="en-GB"/>
        </w:rPr>
        <w:t>i</w:t>
      </w:r>
      <w:r w:rsidRPr="00F71B68">
        <w:rPr>
          <w:bCs/>
          <w:color w:val="000000"/>
          <w:lang w:eastAsia="en-GB"/>
        </w:rPr>
        <w:t xml:space="preserve">nfluence 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is slightly too little (a combination of far too little and somewhat too little) . However, another twenty four percent (24%) perceived it as about the right amount of influence on the polity on both formal and the informalities. Also about fifteen percent (15%) a combination of somewhat too much and far too much opined that the level of influence </w:t>
      </w:r>
      <w:r w:rsidRPr="00F71B68">
        <w:rPr>
          <w:bCs/>
          <w:color w:val="000000"/>
          <w:lang w:eastAsia="en-GB"/>
        </w:rPr>
        <w:t xml:space="preserve">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is very significant. It is important to remark that the impact of the </w:t>
      </w:r>
      <w:r w:rsidRPr="00F71B68">
        <w:rPr>
          <w:bCs/>
          <w:color w:val="000000"/>
          <w:lang w:eastAsia="en-GB"/>
        </w:rPr>
        <w:t xml:space="preserve">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Nigeria is very significant.</w:t>
      </w:r>
    </w:p>
    <w:p w:rsidR="0026675E" w:rsidRDefault="0026675E" w:rsidP="0026675E">
      <w:pPr>
        <w:jc w:val="both"/>
      </w:pPr>
      <w:r>
        <w:t xml:space="preserve">In South Africa, the table IV and Figure IV above shows that about twenty nine percent (29%) opined that the level of </w:t>
      </w:r>
      <w:r>
        <w:rPr>
          <w:bCs/>
          <w:color w:val="000000"/>
          <w:lang w:eastAsia="en-GB"/>
        </w:rPr>
        <w:t>i</w:t>
      </w:r>
      <w:r w:rsidRPr="00F71B68">
        <w:rPr>
          <w:bCs/>
          <w:color w:val="000000"/>
          <w:lang w:eastAsia="en-GB"/>
        </w:rPr>
        <w:t xml:space="preserve">nfluence 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is slightly too little (a combination of far too little and somewhat too little) . However, another twenty percent (20%) perceived it as about the right amount of influence on the polity on both formal and the informalities. Also about twenty percent (20%) a combination of somewhat too much and far too much opined that the level of influence </w:t>
      </w:r>
      <w:r w:rsidRPr="00F71B68">
        <w:rPr>
          <w:bCs/>
          <w:color w:val="000000"/>
          <w:lang w:eastAsia="en-GB"/>
        </w:rPr>
        <w:t xml:space="preserve">of 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polity is very significant. It is important to remark that the impact of the </w:t>
      </w:r>
      <w:r w:rsidRPr="00F71B68">
        <w:rPr>
          <w:bCs/>
          <w:color w:val="000000"/>
          <w:lang w:eastAsia="en-GB"/>
        </w:rPr>
        <w:t xml:space="preserve">civic organizations and </w:t>
      </w:r>
      <w:r>
        <w:rPr>
          <w:bCs/>
          <w:color w:val="000000"/>
          <w:lang w:eastAsia="en-GB"/>
        </w:rPr>
        <w:t>nongovernmental organizations (</w:t>
      </w:r>
      <w:r w:rsidRPr="00F71B68">
        <w:rPr>
          <w:bCs/>
          <w:color w:val="000000"/>
          <w:lang w:eastAsia="en-GB"/>
        </w:rPr>
        <w:t>NGOs</w:t>
      </w:r>
      <w:r>
        <w:rPr>
          <w:bCs/>
          <w:color w:val="000000"/>
          <w:lang w:eastAsia="en-GB"/>
        </w:rPr>
        <w:t>)</w:t>
      </w:r>
      <w:r>
        <w:t xml:space="preserve"> on policy and the decision making process in the South Africa is very significant.</w:t>
      </w:r>
    </w:p>
    <w:p w:rsidR="0026675E" w:rsidRDefault="0026675E" w:rsidP="0026675E">
      <w:pPr>
        <w:jc w:val="both"/>
      </w:pPr>
      <w:r>
        <w:t xml:space="preserve">From the table V and Figure V above, it is observed that about twenty five percent (25%) of Kenyans opined that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 xml:space="preserve">nd the </w:t>
      </w:r>
      <w:r>
        <w:lastRenderedPageBreak/>
        <w:t xml:space="preserve">decision making process in the polity is too little (a combination of far too little and somewhat too little). However, about twenty five percent (25%) also perceived that the </w:t>
      </w:r>
      <w:r w:rsidRPr="00D3310B">
        <w:rPr>
          <w:bCs/>
          <w:color w:val="000000"/>
          <w:lang w:eastAsia="en-GB"/>
        </w:rPr>
        <w:t>international businesses and investors</w:t>
      </w:r>
      <w:r w:rsidRPr="00D3310B">
        <w:t xml:space="preserve"> </w:t>
      </w:r>
      <w:r>
        <w:t>have about the right amount of influence on the</w:t>
      </w:r>
      <w:r w:rsidRPr="00D3310B">
        <w:t xml:space="preserve"> policy a</w:t>
      </w:r>
      <w:r>
        <w:t xml:space="preserve">nd the decision making process in the polity. Also about nineteen percent (19%) of the populace (a combination of somewhat too much and far too much) are of the opinion that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nd the decision making process in the polity either through the formal means or the informal backdoor politics is very significant.</w:t>
      </w:r>
    </w:p>
    <w:p w:rsidR="0026675E" w:rsidRDefault="0026675E" w:rsidP="0026675E">
      <w:pPr>
        <w:jc w:val="both"/>
      </w:pPr>
      <w:r>
        <w:t xml:space="preserve">In Nigeria like Kenya, the table V and Figure V above reveals that about twenty nine percent (29%) of Nigerians opined that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 xml:space="preserve">nd the decision making process in the polity is too little (a combination of far too little and somewhat too little). However, about twenty three percent (23%) also perceived that the </w:t>
      </w:r>
      <w:r w:rsidRPr="00D3310B">
        <w:rPr>
          <w:bCs/>
          <w:color w:val="000000"/>
          <w:lang w:eastAsia="en-GB"/>
        </w:rPr>
        <w:t>international businesses and investors</w:t>
      </w:r>
      <w:r w:rsidRPr="00D3310B">
        <w:t xml:space="preserve"> </w:t>
      </w:r>
      <w:r>
        <w:t xml:space="preserve">have about the right amount of influence on the </w:t>
      </w:r>
      <w:r w:rsidRPr="00D3310B">
        <w:t xml:space="preserve"> policy a</w:t>
      </w:r>
      <w:r>
        <w:t xml:space="preserve">nd the decision making process in the polity. Also about nineteen percent (15%) of the populace (a combination of somewhat too much and far too much) are of the opinion that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nd the decision making process in the polity either through the formal means or the informal backdoor politics is very significant.</w:t>
      </w:r>
    </w:p>
    <w:p w:rsidR="0026675E" w:rsidRDefault="0026675E" w:rsidP="0026675E">
      <w:pPr>
        <w:jc w:val="both"/>
      </w:pPr>
      <w:r>
        <w:t xml:space="preserve">In South Africa, like Nigeria and Kenya, the table V and Figure V above reveals that about twenty nine percent (27%) of Nigerians opined that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 xml:space="preserve">nd the decision making process in the polity is too little (a combination of far too little and somewhat too little). However, about twenty three percent (23%) also perceived that the </w:t>
      </w:r>
      <w:r w:rsidRPr="00D3310B">
        <w:rPr>
          <w:bCs/>
          <w:color w:val="000000"/>
          <w:lang w:eastAsia="en-GB"/>
        </w:rPr>
        <w:t>international businesses and investors</w:t>
      </w:r>
      <w:r w:rsidRPr="00D3310B">
        <w:t xml:space="preserve"> </w:t>
      </w:r>
      <w:r>
        <w:t xml:space="preserve">have about the right amount of influence on the </w:t>
      </w:r>
      <w:r w:rsidRPr="00D3310B">
        <w:t>policy a</w:t>
      </w:r>
      <w:r>
        <w:t xml:space="preserve">nd the decision making process in the polity. Also about twenty percent (20%) of the populace (a combination of somewhat too much and far too much) are of the opinion that the </w:t>
      </w:r>
      <w:r>
        <w:rPr>
          <w:bCs/>
          <w:color w:val="000000"/>
          <w:lang w:eastAsia="en-GB"/>
        </w:rPr>
        <w:t>i</w:t>
      </w:r>
      <w:r w:rsidRPr="00F71B68">
        <w:rPr>
          <w:bCs/>
          <w:color w:val="000000"/>
          <w:lang w:eastAsia="en-GB"/>
        </w:rPr>
        <w:t xml:space="preserve">nfluence </w:t>
      </w:r>
      <w:r w:rsidRPr="00D3310B">
        <w:rPr>
          <w:bCs/>
          <w:color w:val="000000"/>
          <w:lang w:eastAsia="en-GB"/>
        </w:rPr>
        <w:t>of international businesses and investors</w:t>
      </w:r>
      <w:r w:rsidRPr="00D3310B">
        <w:t xml:space="preserve"> on policy a</w:t>
      </w:r>
      <w:r>
        <w:t>nd the decision making process in the polity either through the formal means or the informal backdoor politics is very significant.</w:t>
      </w:r>
    </w:p>
    <w:p w:rsidR="0026675E" w:rsidRDefault="0026675E" w:rsidP="0026675E">
      <w:pPr>
        <w:jc w:val="both"/>
      </w:pPr>
      <w:r>
        <w:t xml:space="preserve">From the table VI and Figure VI above, it is observed that about twenty five percent (25%) of Kenyans opined that the </w:t>
      </w:r>
      <w:r>
        <w:rPr>
          <w:bCs/>
          <w:color w:val="000000"/>
          <w:lang w:eastAsia="en-GB"/>
        </w:rPr>
        <w:t>i</w:t>
      </w:r>
      <w:r w:rsidRPr="00F71B68">
        <w:rPr>
          <w:bCs/>
          <w:color w:val="000000"/>
          <w:lang w:eastAsia="en-GB"/>
        </w:rPr>
        <w:t xml:space="preserve">nfluence </w:t>
      </w:r>
      <w:r w:rsidRPr="00D3310B">
        <w:rPr>
          <w:bCs/>
          <w:color w:val="000000"/>
          <w:lang w:eastAsia="en-GB"/>
        </w:rPr>
        <w:t xml:space="preserve">of </w:t>
      </w:r>
      <w:r w:rsidRPr="00AC53A6">
        <w:rPr>
          <w:bCs/>
          <w:color w:val="000000"/>
          <w:lang w:eastAsia="en-GB"/>
        </w:rPr>
        <w:t xml:space="preserve">International donors and </w:t>
      </w:r>
      <w:r>
        <w:rPr>
          <w:bCs/>
          <w:color w:val="000000"/>
          <w:lang w:eastAsia="en-GB"/>
        </w:rPr>
        <w:t>nongovernmental organizations (</w:t>
      </w:r>
      <w:r w:rsidRPr="00AC53A6">
        <w:rPr>
          <w:bCs/>
          <w:color w:val="000000"/>
          <w:lang w:eastAsia="en-GB"/>
        </w:rPr>
        <w:t>NGOs</w:t>
      </w:r>
      <w:r>
        <w:rPr>
          <w:bCs/>
          <w:color w:val="000000"/>
          <w:lang w:eastAsia="en-GB"/>
        </w:rPr>
        <w:t xml:space="preserve">) </w:t>
      </w:r>
      <w:r w:rsidRPr="00D3310B">
        <w:t>on policy a</w:t>
      </w:r>
      <w:r>
        <w:t xml:space="preserve">nd the decision making process in the polity is too little (a combination of far too little and somewhat too little). However, about twenty five percent (25%) also perceived that the </w:t>
      </w:r>
      <w:r w:rsidRPr="00D3310B">
        <w:rPr>
          <w:bCs/>
          <w:color w:val="000000"/>
          <w:lang w:eastAsia="en-GB"/>
        </w:rPr>
        <w:t xml:space="preserve">international businesses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w:t>
      </w:r>
      <w:r>
        <w:t>have about the right amount of influence on the</w:t>
      </w:r>
      <w:r w:rsidRPr="00D3310B">
        <w:t xml:space="preserve"> policy a</w:t>
      </w:r>
      <w:r>
        <w:t xml:space="preserve">nd the decision making process in the polity. Also about twenty three percent (23%) of the populace (a combination of somewhat too much and far too much) are of the opinion that the </w:t>
      </w:r>
      <w:r>
        <w:rPr>
          <w:bCs/>
          <w:color w:val="000000"/>
          <w:lang w:eastAsia="en-GB"/>
        </w:rPr>
        <w:t>i</w:t>
      </w:r>
      <w:r w:rsidRPr="00F71B68">
        <w:rPr>
          <w:bCs/>
          <w:color w:val="000000"/>
          <w:lang w:eastAsia="en-GB"/>
        </w:rPr>
        <w:t xml:space="preserve">nfluence </w:t>
      </w:r>
      <w:r w:rsidRPr="00D3310B">
        <w:rPr>
          <w:bCs/>
          <w:color w:val="000000"/>
          <w:lang w:eastAsia="en-GB"/>
        </w:rPr>
        <w:t xml:space="preserve">of international businesses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on policy a</w:t>
      </w:r>
      <w:r>
        <w:t xml:space="preserve">nd the decision making process in the polity either through the formal means or the informal backdoor politics is very significant. </w:t>
      </w:r>
    </w:p>
    <w:p w:rsidR="0026675E" w:rsidRDefault="0026675E" w:rsidP="0026675E">
      <w:pPr>
        <w:jc w:val="both"/>
      </w:pPr>
      <w:r>
        <w:t xml:space="preserve">In Nigeria like Kenya, the table VI and Figure VI above, it is observed that about thirty one percent (31%) of Kenyans opined that the </w:t>
      </w:r>
      <w:r>
        <w:rPr>
          <w:bCs/>
          <w:color w:val="000000"/>
          <w:lang w:eastAsia="en-GB"/>
        </w:rPr>
        <w:t>i</w:t>
      </w:r>
      <w:r w:rsidRPr="00F71B68">
        <w:rPr>
          <w:bCs/>
          <w:color w:val="000000"/>
          <w:lang w:eastAsia="en-GB"/>
        </w:rPr>
        <w:t xml:space="preserve">nfluence </w:t>
      </w:r>
      <w:r w:rsidRPr="00D3310B">
        <w:rPr>
          <w:bCs/>
          <w:color w:val="000000"/>
          <w:lang w:eastAsia="en-GB"/>
        </w:rPr>
        <w:t xml:space="preserve">of </w:t>
      </w:r>
      <w:r w:rsidRPr="00AC53A6">
        <w:rPr>
          <w:bCs/>
          <w:color w:val="000000"/>
          <w:lang w:eastAsia="en-GB"/>
        </w:rPr>
        <w:t xml:space="preserve">International donors and </w:t>
      </w:r>
      <w:r>
        <w:rPr>
          <w:bCs/>
          <w:color w:val="000000"/>
          <w:lang w:eastAsia="en-GB"/>
        </w:rPr>
        <w:t>nongovernmental organizations (</w:t>
      </w:r>
      <w:r w:rsidRPr="00AC53A6">
        <w:rPr>
          <w:bCs/>
          <w:color w:val="000000"/>
          <w:lang w:eastAsia="en-GB"/>
        </w:rPr>
        <w:t>NGOs</w:t>
      </w:r>
      <w:r>
        <w:rPr>
          <w:bCs/>
          <w:color w:val="000000"/>
          <w:lang w:eastAsia="en-GB"/>
        </w:rPr>
        <w:t xml:space="preserve">) </w:t>
      </w:r>
      <w:r w:rsidRPr="00D3310B">
        <w:t>on policy a</w:t>
      </w:r>
      <w:r>
        <w:t xml:space="preserve">nd the decision making process in the polity is too little (a combination of far too little and somewhat too little). However, about twenty three percent (23%) also perceived that the </w:t>
      </w:r>
      <w:r w:rsidRPr="00D3310B">
        <w:rPr>
          <w:bCs/>
          <w:color w:val="000000"/>
          <w:lang w:eastAsia="en-GB"/>
        </w:rPr>
        <w:t xml:space="preserve">international businesses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w:t>
      </w:r>
      <w:r>
        <w:t xml:space="preserve">have about the right amount of influence on the </w:t>
      </w:r>
      <w:r w:rsidRPr="00D3310B">
        <w:t>policy a</w:t>
      </w:r>
      <w:r>
        <w:t xml:space="preserve">nd the decision making process in the polity. Also about fourteen percent (14%) of the populace (a combination of somewhat too much and far too much) are of the opinion that the </w:t>
      </w:r>
      <w:r>
        <w:rPr>
          <w:bCs/>
          <w:color w:val="000000"/>
          <w:lang w:eastAsia="en-GB"/>
        </w:rPr>
        <w:lastRenderedPageBreak/>
        <w:t>i</w:t>
      </w:r>
      <w:r w:rsidRPr="00F71B68">
        <w:rPr>
          <w:bCs/>
          <w:color w:val="000000"/>
          <w:lang w:eastAsia="en-GB"/>
        </w:rPr>
        <w:t xml:space="preserve">nfluence </w:t>
      </w:r>
      <w:r w:rsidRPr="00D3310B">
        <w:rPr>
          <w:bCs/>
          <w:color w:val="000000"/>
          <w:lang w:eastAsia="en-GB"/>
        </w:rPr>
        <w:t xml:space="preserve">of international businesses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on policy a</w:t>
      </w:r>
      <w:r>
        <w:t>nd the decision making process in the polity either through the formal means or the informal backdoor politics is very significant.</w:t>
      </w:r>
    </w:p>
    <w:p w:rsidR="0026675E" w:rsidRDefault="0026675E" w:rsidP="0026675E">
      <w:pPr>
        <w:jc w:val="both"/>
      </w:pPr>
      <w:r>
        <w:t xml:space="preserve">In South Africa like Kenya and Nigeria the table VI and Figure VI above, it is observed that about thirty one percent (31%) of Kenyans opined that the </w:t>
      </w:r>
      <w:r>
        <w:rPr>
          <w:bCs/>
          <w:color w:val="000000"/>
          <w:lang w:eastAsia="en-GB"/>
        </w:rPr>
        <w:t>i</w:t>
      </w:r>
      <w:r w:rsidRPr="00F71B68">
        <w:rPr>
          <w:bCs/>
          <w:color w:val="000000"/>
          <w:lang w:eastAsia="en-GB"/>
        </w:rPr>
        <w:t xml:space="preserve">nfluence </w:t>
      </w:r>
      <w:r w:rsidRPr="00D3310B">
        <w:rPr>
          <w:bCs/>
          <w:color w:val="000000"/>
          <w:lang w:eastAsia="en-GB"/>
        </w:rPr>
        <w:t xml:space="preserve">of </w:t>
      </w:r>
      <w:r w:rsidRPr="00AC53A6">
        <w:rPr>
          <w:bCs/>
          <w:color w:val="000000"/>
          <w:lang w:eastAsia="en-GB"/>
        </w:rPr>
        <w:t xml:space="preserve">International donors and </w:t>
      </w:r>
      <w:r>
        <w:rPr>
          <w:bCs/>
          <w:color w:val="000000"/>
          <w:lang w:eastAsia="en-GB"/>
        </w:rPr>
        <w:t>nongovernmental organizations (</w:t>
      </w:r>
      <w:r w:rsidRPr="00AC53A6">
        <w:rPr>
          <w:bCs/>
          <w:color w:val="000000"/>
          <w:lang w:eastAsia="en-GB"/>
        </w:rPr>
        <w:t>NGOs</w:t>
      </w:r>
      <w:r>
        <w:rPr>
          <w:bCs/>
          <w:color w:val="000000"/>
          <w:lang w:eastAsia="en-GB"/>
        </w:rPr>
        <w:t xml:space="preserve">) </w:t>
      </w:r>
      <w:r w:rsidRPr="00D3310B">
        <w:t>on policy a</w:t>
      </w:r>
      <w:r>
        <w:t xml:space="preserve">nd the decision making process in the polity is too little (a combination of far too little and somewhat too little). However, about twenty three percent (23%) also perceived that the </w:t>
      </w:r>
      <w:r w:rsidRPr="00D3310B">
        <w:rPr>
          <w:bCs/>
          <w:color w:val="000000"/>
          <w:lang w:eastAsia="en-GB"/>
        </w:rPr>
        <w:t xml:space="preserve">international businesses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w:t>
      </w:r>
      <w:r>
        <w:t xml:space="preserve">have about the right amount of influence on the </w:t>
      </w:r>
      <w:r w:rsidRPr="00D3310B">
        <w:t>policy a</w:t>
      </w:r>
      <w:r>
        <w:t xml:space="preserve">nd the decision making process in the polity. Also about fourteen percent (14%) of the populace (a combination of somewhat too much and far too much) are of the opinion that the </w:t>
      </w:r>
      <w:r>
        <w:rPr>
          <w:bCs/>
          <w:color w:val="000000"/>
          <w:lang w:eastAsia="en-GB"/>
        </w:rPr>
        <w:t>i</w:t>
      </w:r>
      <w:r w:rsidRPr="00F71B68">
        <w:rPr>
          <w:bCs/>
          <w:color w:val="000000"/>
          <w:lang w:eastAsia="en-GB"/>
        </w:rPr>
        <w:t xml:space="preserve">nfluence </w:t>
      </w:r>
      <w:r w:rsidRPr="00D3310B">
        <w:rPr>
          <w:bCs/>
          <w:color w:val="000000"/>
          <w:lang w:eastAsia="en-GB"/>
        </w:rPr>
        <w:t xml:space="preserve">of international businesses and </w:t>
      </w:r>
      <w:r>
        <w:rPr>
          <w:bCs/>
          <w:color w:val="000000"/>
          <w:lang w:eastAsia="en-GB"/>
        </w:rPr>
        <w:t>nongovernmental organizations (</w:t>
      </w:r>
      <w:r w:rsidRPr="00AC53A6">
        <w:rPr>
          <w:bCs/>
          <w:color w:val="000000"/>
          <w:lang w:eastAsia="en-GB"/>
        </w:rPr>
        <w:t>NGOs</w:t>
      </w:r>
      <w:r>
        <w:rPr>
          <w:bCs/>
          <w:color w:val="000000"/>
          <w:lang w:eastAsia="en-GB"/>
        </w:rPr>
        <w:t>)</w:t>
      </w:r>
      <w:r w:rsidRPr="00D3310B">
        <w:t xml:space="preserve"> on policy a</w:t>
      </w:r>
      <w:r>
        <w:t>nd the decision making process in the polity either through the formal means or the informal backdoor politics is very significant.</w:t>
      </w:r>
    </w:p>
    <w:p w:rsidR="0026675E" w:rsidRPr="004E40EB" w:rsidRDefault="0026675E" w:rsidP="0026675E"/>
    <w:p w:rsidR="0026675E" w:rsidRPr="00AC5734" w:rsidRDefault="0026675E" w:rsidP="0026675E">
      <w:pPr>
        <w:jc w:val="center"/>
        <w:rPr>
          <w:b/>
        </w:rPr>
      </w:pPr>
      <w:r w:rsidRPr="00AC5734">
        <w:rPr>
          <w:b/>
        </w:rPr>
        <w:t>CONCLUSION AND RECOMMENDATIONS</w:t>
      </w:r>
    </w:p>
    <w:p w:rsidR="0026675E" w:rsidRDefault="0026675E" w:rsidP="0026675E">
      <w:pPr>
        <w:jc w:val="both"/>
      </w:pPr>
      <w:r>
        <w:t>This paper had embarked on t</w:t>
      </w:r>
      <w:r w:rsidRPr="00AC5734">
        <w:t xml:space="preserve">he </w:t>
      </w:r>
      <w:r>
        <w:t xml:space="preserve">mission and </w:t>
      </w:r>
      <w:r w:rsidRPr="00AC5734">
        <w:t xml:space="preserve">objective of </w:t>
      </w:r>
      <w:r>
        <w:t>determining</w:t>
      </w:r>
      <w:r w:rsidRPr="00AC5734">
        <w:t xml:space="preserve"> the extent to which backdoor politics had affected policies and development in Africa. </w:t>
      </w:r>
      <w:r>
        <w:t>It analyses the reality of informalities in the day to day government bureaucratic procedures. Comparative analyses of three African states using descriptive analyses with the use of simple percentage and bar charts were employed. The following are the Africa states;</w:t>
      </w:r>
      <w:r w:rsidRPr="00AC5734">
        <w:t xml:space="preserve"> Kenya, Nigeria and </w:t>
      </w:r>
      <w:r>
        <w:t>South Africa</w:t>
      </w:r>
      <w:r w:rsidRPr="00AC5734">
        <w:t xml:space="preserve"> </w:t>
      </w:r>
      <w:r>
        <w:t>respectively. They are</w:t>
      </w:r>
      <w:r w:rsidRPr="00AC5734">
        <w:t xml:space="preserve"> t</w:t>
      </w:r>
      <w:r>
        <w:t xml:space="preserve">hematically analysed under the following questions; </w:t>
      </w:r>
      <w:r w:rsidRPr="00AC5734">
        <w:t>Ethnic group´s political influence? Ho</w:t>
      </w:r>
      <w:r>
        <w:t>w often officials go unpunished?</w:t>
      </w:r>
      <w:r w:rsidRPr="00AC5734">
        <w:t xml:space="preserve"> </w:t>
      </w:r>
      <w:r>
        <w:t>E</w:t>
      </w:r>
      <w:r w:rsidRPr="00AC5734">
        <w:t>xtent of traditional leaders influen</w:t>
      </w:r>
      <w:r>
        <w:t>ce on governing local community;</w:t>
      </w:r>
      <w:r w:rsidRPr="00AC5734">
        <w:t xml:space="preserve"> </w:t>
      </w:r>
      <w:r>
        <w:t xml:space="preserve">the </w:t>
      </w:r>
      <w:r w:rsidRPr="00AC5734">
        <w:t>Influence of civic organizations and Non Governmental Organizations (NGOs) in the state</w:t>
      </w:r>
      <w:r>
        <w:t xml:space="preserve">; the </w:t>
      </w:r>
      <w:r w:rsidRPr="00AC5734">
        <w:t>Influence of internat</w:t>
      </w:r>
      <w:r>
        <w:t xml:space="preserve">ional businesses and investors </w:t>
      </w:r>
      <w:r w:rsidRPr="00AC5734">
        <w:t xml:space="preserve">and </w:t>
      </w:r>
      <w:r>
        <w:t xml:space="preserve">the </w:t>
      </w:r>
      <w:r w:rsidRPr="00AC5734">
        <w:t>Influence of International donors and NGOs</w:t>
      </w:r>
      <w:r>
        <w:t xml:space="preserve"> on the </w:t>
      </w:r>
      <w:r w:rsidRPr="00D3310B">
        <w:t>policy a</w:t>
      </w:r>
      <w:r>
        <w:t>nd the decision making process in the polity.</w:t>
      </w:r>
      <w:r w:rsidRPr="00AC5734">
        <w:t xml:space="preserve"> </w:t>
      </w:r>
      <w:r>
        <w:t>The analysis</w:t>
      </w:r>
      <w:r w:rsidRPr="00AC5734">
        <w:t xml:space="preserve"> </w:t>
      </w:r>
      <w:r>
        <w:t xml:space="preserve">reveals that </w:t>
      </w:r>
      <w:r w:rsidRPr="00AC5734">
        <w:t xml:space="preserve">the level of impact of </w:t>
      </w:r>
      <w:r>
        <w:t xml:space="preserve">informalities </w:t>
      </w:r>
      <w:r w:rsidRPr="00AC5734">
        <w:t>backdoor politics</w:t>
      </w:r>
      <w:r>
        <w:t xml:space="preserve"> on the polity has a very high significant impact. </w:t>
      </w:r>
    </w:p>
    <w:p w:rsidR="0026675E" w:rsidRDefault="0026675E" w:rsidP="0026675E">
      <w:pPr>
        <w:jc w:val="both"/>
      </w:pPr>
      <w:r>
        <w:t xml:space="preserve">It is of importance to note that there is no organization that does not have rational thinking faculties. The personnel handling the affaire of such state organization might permit some informality in the formal administrative bureaucratic procedures due to some exigencies or some personal idiosyncrasies. The analysis of backdoor politics had revealed the four perspectives or approaches through which informality creeps into the political system. These approaches include; </w:t>
      </w:r>
      <w:r w:rsidRPr="00AC5734">
        <w:t>political approach, the economic approach, the ethnic approach and the religious approach</w:t>
      </w:r>
      <w:r>
        <w:t xml:space="preserve"> </w:t>
      </w:r>
    </w:p>
    <w:p w:rsidR="0026675E" w:rsidRDefault="0026675E" w:rsidP="0026675E">
      <w:pPr>
        <w:jc w:val="both"/>
      </w:pPr>
      <w:r>
        <w:t xml:space="preserve">The major setback to the prowess of backdoor politics is how to determine the time when personal prejudice is introduced or lobbied into a state project. The will of the people can actually be the will of a group of vocal people either within the polity or outside the state. Due to their influence, certain peoples’ oriented bills can be subverted to suit a business or ethnical group. Invariably, there exist just a thinly line of separation between the peoples’ will and the will of a powerful few (bourgeoisies). </w:t>
      </w:r>
    </w:p>
    <w:p w:rsidR="0026675E" w:rsidRPr="00AC5734" w:rsidRDefault="0026675E" w:rsidP="0026675E">
      <w:pPr>
        <w:jc w:val="both"/>
      </w:pPr>
      <w:r>
        <w:t xml:space="preserve">It is of note to recommend that </w:t>
      </w:r>
      <w:r w:rsidRPr="00AC5734">
        <w:t xml:space="preserve">allowing natural </w:t>
      </w:r>
      <w:r>
        <w:t xml:space="preserve">to take its </w:t>
      </w:r>
      <w:r w:rsidRPr="00AC5734">
        <w:t>course when issues are link with common man</w:t>
      </w:r>
      <w:r>
        <w:t xml:space="preserve"> is inevitable in government and nongovernmental sector of the state.. However, the extent of allowing interference in the policy and decision making process of the government must be censored in the light of public opinion. The government in a democratic </w:t>
      </w:r>
      <w:r>
        <w:lastRenderedPageBreak/>
        <w:t xml:space="preserve">setting should endeavour to allow the input of the greatest input of the greatest number of the people before a policy will be implemented. Nevertheless, boundaries should be drawn between egocentric agenda and state-centric agenda so as to prevent political sabotage, prejudice and corruption in the polity.  </w:t>
      </w:r>
    </w:p>
    <w:p w:rsidR="0026675E" w:rsidRDefault="0026675E" w:rsidP="0026675E">
      <w:pPr>
        <w:jc w:val="both"/>
      </w:pPr>
      <w:r w:rsidRPr="00AC5734">
        <w:t xml:space="preserve">. </w:t>
      </w:r>
    </w:p>
    <w:p w:rsidR="0026675E" w:rsidRDefault="0026675E" w:rsidP="0026675E">
      <w:pPr>
        <w:jc w:val="both"/>
      </w:pPr>
    </w:p>
    <w:p w:rsidR="0026675E" w:rsidRDefault="0026675E" w:rsidP="0026675E">
      <w:pPr>
        <w:jc w:val="both"/>
      </w:pPr>
    </w:p>
    <w:p w:rsidR="0026675E" w:rsidRPr="00C472B1" w:rsidRDefault="0026675E" w:rsidP="0026675E">
      <w:pPr>
        <w:jc w:val="both"/>
      </w:pPr>
    </w:p>
    <w:p w:rsidR="0026675E" w:rsidRPr="00C472B1" w:rsidRDefault="0026675E" w:rsidP="0026675E">
      <w:pPr>
        <w:jc w:val="both"/>
      </w:pPr>
    </w:p>
    <w:p w:rsidR="0026675E" w:rsidRPr="00C472B1" w:rsidRDefault="0026675E" w:rsidP="0026675E">
      <w:pPr>
        <w:jc w:val="both"/>
      </w:pPr>
    </w:p>
    <w:p w:rsidR="0026675E" w:rsidRPr="00C472B1" w:rsidRDefault="0026675E" w:rsidP="0026675E">
      <w:pPr>
        <w:jc w:val="both"/>
      </w:pPr>
    </w:p>
    <w:p w:rsidR="0026675E" w:rsidRPr="00C472B1" w:rsidRDefault="0026675E" w:rsidP="0026675E">
      <w:pPr>
        <w:jc w:val="both"/>
      </w:pPr>
    </w:p>
    <w:p w:rsidR="0026675E" w:rsidRPr="00C472B1" w:rsidRDefault="0026675E" w:rsidP="0026675E">
      <w:pPr>
        <w:jc w:val="center"/>
        <w:rPr>
          <w:b/>
        </w:rPr>
      </w:pPr>
      <w:r w:rsidRPr="00C472B1">
        <w:rPr>
          <w:b/>
        </w:rPr>
        <w:t>REFERENCES</w:t>
      </w:r>
    </w:p>
    <w:p w:rsidR="0026675E" w:rsidRDefault="0026675E" w:rsidP="0026675E">
      <w:pPr>
        <w:rPr>
          <w:lang w:eastAsia="en-GB"/>
        </w:rPr>
      </w:pPr>
    </w:p>
    <w:p w:rsidR="0026675E" w:rsidRDefault="0026675E" w:rsidP="0026675E">
      <w:pPr>
        <w:rPr>
          <w:szCs w:val="18"/>
        </w:rPr>
      </w:pPr>
      <w:r>
        <w:rPr>
          <w:szCs w:val="28"/>
        </w:rPr>
        <w:t>Aluko O. I.</w:t>
      </w:r>
      <w:r w:rsidRPr="00375D15">
        <w:rPr>
          <w:szCs w:val="28"/>
        </w:rPr>
        <w:t xml:space="preserve"> (2016</w:t>
      </w:r>
      <w:r>
        <w:rPr>
          <w:szCs w:val="28"/>
        </w:rPr>
        <w:t>a</w:t>
      </w:r>
      <w:r w:rsidRPr="00375D15">
        <w:rPr>
          <w:szCs w:val="28"/>
        </w:rPr>
        <w:t xml:space="preserve">) </w:t>
      </w:r>
      <w:r w:rsidRPr="00375D15">
        <w:rPr>
          <w:szCs w:val="18"/>
        </w:rPr>
        <w:t xml:space="preserve">Refocusing The Focus, Metafocus And Profocus: Mopping </w:t>
      </w:r>
    </w:p>
    <w:p w:rsidR="0026675E" w:rsidRDefault="0026675E" w:rsidP="0026675E">
      <w:pPr>
        <w:ind w:left="720"/>
        <w:rPr>
          <w:szCs w:val="18"/>
        </w:rPr>
      </w:pPr>
      <w:r w:rsidRPr="00375D15">
        <w:rPr>
          <w:szCs w:val="18"/>
        </w:rPr>
        <w:t>Urban Violence In Developing Cities. Journal of Social Science  Vol 5 Issue 2</w:t>
      </w:r>
    </w:p>
    <w:p w:rsidR="0026675E" w:rsidRDefault="0026675E" w:rsidP="0026675E">
      <w:pPr>
        <w:rPr>
          <w:szCs w:val="18"/>
        </w:rPr>
      </w:pPr>
    </w:p>
    <w:p w:rsidR="0026675E" w:rsidRDefault="0026675E" w:rsidP="0026675E">
      <w:pPr>
        <w:jc w:val="both"/>
        <w:rPr>
          <w:szCs w:val="28"/>
        </w:rPr>
      </w:pPr>
      <w:r>
        <w:rPr>
          <w:szCs w:val="28"/>
        </w:rPr>
        <w:t>Aluko O.</w:t>
      </w:r>
      <w:r w:rsidRPr="00375D15">
        <w:rPr>
          <w:szCs w:val="28"/>
          <w:lang w:val="en-GB"/>
        </w:rPr>
        <w:t xml:space="preserve"> I.</w:t>
      </w:r>
      <w:r>
        <w:rPr>
          <w:szCs w:val="28"/>
        </w:rPr>
        <w:t xml:space="preserve"> (2016b)</w:t>
      </w:r>
      <w:r w:rsidRPr="00375D15">
        <w:rPr>
          <w:szCs w:val="28"/>
          <w:lang w:val="en-GB"/>
        </w:rPr>
        <w:t xml:space="preserve"> Urban Violence and Demographic Delimitations in Democratic </w:t>
      </w:r>
    </w:p>
    <w:p w:rsidR="0026675E" w:rsidRDefault="0026675E" w:rsidP="0026675E">
      <w:pPr>
        <w:ind w:left="720"/>
        <w:jc w:val="both"/>
        <w:rPr>
          <w:szCs w:val="28"/>
        </w:rPr>
      </w:pPr>
      <w:r w:rsidRPr="00375D15">
        <w:rPr>
          <w:szCs w:val="28"/>
          <w:lang w:val="en-GB"/>
        </w:rPr>
        <w:t xml:space="preserve">Governance </w:t>
      </w:r>
      <w:r w:rsidRPr="00375D15">
        <w:rPr>
          <w:i/>
          <w:szCs w:val="28"/>
          <w:lang w:val="en-GB"/>
        </w:rPr>
        <w:t>Journal of Siberian Federal University  Humanities &amp; Social Sciences</w:t>
      </w:r>
      <w:r w:rsidRPr="00375D15">
        <w:rPr>
          <w:szCs w:val="28"/>
          <w:lang w:val="en-GB"/>
        </w:rPr>
        <w:t xml:space="preserve"> 1 (9) 235-250</w:t>
      </w:r>
    </w:p>
    <w:p w:rsidR="0026675E" w:rsidRPr="00375D15" w:rsidRDefault="0026675E" w:rsidP="0026675E">
      <w:pPr>
        <w:ind w:left="720"/>
        <w:jc w:val="both"/>
        <w:rPr>
          <w:bCs/>
          <w:szCs w:val="28"/>
        </w:rPr>
      </w:pPr>
    </w:p>
    <w:p w:rsidR="0026675E" w:rsidRDefault="0026675E" w:rsidP="0026675E">
      <w:pPr>
        <w:jc w:val="both"/>
        <w:rPr>
          <w:bCs/>
          <w:szCs w:val="28"/>
        </w:rPr>
      </w:pPr>
      <w:r>
        <w:rPr>
          <w:szCs w:val="28"/>
        </w:rPr>
        <w:t>Aluko O.</w:t>
      </w:r>
      <w:r w:rsidRPr="00BB0E8E">
        <w:rPr>
          <w:szCs w:val="28"/>
          <w:lang w:val="en-GB"/>
        </w:rPr>
        <w:t xml:space="preserve"> I., </w:t>
      </w:r>
      <w:r w:rsidRPr="00BB0E8E">
        <w:rPr>
          <w:bCs/>
          <w:szCs w:val="28"/>
          <w:lang w:val="en-GB"/>
        </w:rPr>
        <w:t xml:space="preserve">(2015). Political Economy of Crony Capitalism: The Prospect and the </w:t>
      </w:r>
    </w:p>
    <w:p w:rsidR="0026675E" w:rsidRDefault="0026675E" w:rsidP="0026675E">
      <w:pPr>
        <w:ind w:firstLine="720"/>
        <w:jc w:val="both"/>
        <w:rPr>
          <w:bCs/>
          <w:szCs w:val="28"/>
        </w:rPr>
      </w:pPr>
      <w:r w:rsidRPr="00BB0E8E">
        <w:rPr>
          <w:bCs/>
          <w:szCs w:val="28"/>
          <w:lang w:val="en-GB"/>
        </w:rPr>
        <w:t xml:space="preserve">Bane </w:t>
      </w:r>
      <w:r w:rsidRPr="00BB0E8E">
        <w:rPr>
          <w:bCs/>
          <w:i/>
          <w:szCs w:val="28"/>
          <w:lang w:val="en-GB"/>
        </w:rPr>
        <w:t>Journal of Economics Library</w:t>
      </w:r>
      <w:r w:rsidRPr="00BB0E8E">
        <w:rPr>
          <w:bCs/>
          <w:szCs w:val="28"/>
          <w:lang w:val="en-GB"/>
        </w:rPr>
        <w:t xml:space="preserve"> Volume 2  Issue 3 </w:t>
      </w:r>
    </w:p>
    <w:p w:rsidR="0026675E" w:rsidRPr="00BB0E8E" w:rsidRDefault="0026675E" w:rsidP="0026675E">
      <w:pPr>
        <w:ind w:firstLine="720"/>
        <w:jc w:val="both"/>
        <w:rPr>
          <w:bCs/>
          <w:szCs w:val="28"/>
        </w:rPr>
      </w:pPr>
    </w:p>
    <w:p w:rsidR="0026675E" w:rsidRDefault="0026675E" w:rsidP="0026675E">
      <w:pPr>
        <w:rPr>
          <w:szCs w:val="28"/>
        </w:rPr>
      </w:pPr>
      <w:r>
        <w:rPr>
          <w:szCs w:val="28"/>
        </w:rPr>
        <w:t>Aluko O. I.</w:t>
      </w:r>
      <w:r w:rsidRPr="00BB0E8E">
        <w:rPr>
          <w:szCs w:val="28"/>
        </w:rPr>
        <w:t xml:space="preserve"> (2017) Political Economy of Crony Inequality Among Nations: A </w:t>
      </w:r>
    </w:p>
    <w:p w:rsidR="0026675E" w:rsidRPr="00BB0E8E" w:rsidRDefault="0026675E" w:rsidP="0026675E">
      <w:pPr>
        <w:ind w:left="720"/>
        <w:rPr>
          <w:szCs w:val="28"/>
        </w:rPr>
      </w:pPr>
      <w:r w:rsidRPr="00BB0E8E">
        <w:rPr>
          <w:szCs w:val="28"/>
        </w:rPr>
        <w:t xml:space="preserve">Study on Capitalism and Socialism </w:t>
      </w:r>
      <w:r w:rsidRPr="00BB0E8E">
        <w:rPr>
          <w:i/>
          <w:szCs w:val="28"/>
        </w:rPr>
        <w:t>Journal of Community Development Research (Humanities and Social Sciences) Naresuan University</w:t>
      </w:r>
      <w:r w:rsidRPr="00BB0E8E">
        <w:rPr>
          <w:szCs w:val="28"/>
        </w:rPr>
        <w:t>, Taphao Volume 10, No. 2.</w:t>
      </w:r>
    </w:p>
    <w:p w:rsidR="0026675E" w:rsidRPr="00BB0E8E" w:rsidRDefault="0026675E" w:rsidP="0026675E">
      <w:pPr>
        <w:jc w:val="both"/>
        <w:rPr>
          <w:rFonts w:ascii="Garamond" w:hAnsi="Garamond"/>
          <w:b/>
          <w:bCs/>
          <w:sz w:val="28"/>
          <w:szCs w:val="28"/>
          <w:lang w:val="en-GB"/>
        </w:rPr>
      </w:pPr>
    </w:p>
    <w:p w:rsidR="0026675E" w:rsidRDefault="0026675E" w:rsidP="0026675E">
      <w:pPr>
        <w:rPr>
          <w:szCs w:val="18"/>
        </w:rPr>
      </w:pPr>
    </w:p>
    <w:p w:rsidR="0026675E" w:rsidRDefault="0026675E" w:rsidP="0026675E">
      <w:pPr>
        <w:pStyle w:val="NormalWeb"/>
        <w:spacing w:before="0" w:beforeAutospacing="0" w:after="0" w:afterAutospacing="0"/>
        <w:rPr>
          <w:szCs w:val="28"/>
        </w:rPr>
      </w:pPr>
      <w:r>
        <w:rPr>
          <w:szCs w:val="28"/>
        </w:rPr>
        <w:t>Aremu F.A.</w:t>
      </w:r>
      <w:r w:rsidRPr="00375D15">
        <w:rPr>
          <w:szCs w:val="28"/>
        </w:rPr>
        <w:t>, Isiaq A</w:t>
      </w:r>
      <w:r>
        <w:rPr>
          <w:szCs w:val="28"/>
        </w:rPr>
        <w:t xml:space="preserve">. </w:t>
      </w:r>
      <w:r w:rsidRPr="00375D15">
        <w:rPr>
          <w:szCs w:val="28"/>
        </w:rPr>
        <w:t>A</w:t>
      </w:r>
      <w:r>
        <w:rPr>
          <w:szCs w:val="28"/>
        </w:rPr>
        <w:t>.</w:t>
      </w:r>
      <w:r w:rsidRPr="00375D15">
        <w:rPr>
          <w:szCs w:val="28"/>
        </w:rPr>
        <w:t xml:space="preserve"> and Aluko </w:t>
      </w:r>
      <w:r>
        <w:rPr>
          <w:szCs w:val="28"/>
        </w:rPr>
        <w:t xml:space="preserve">O.I. </w:t>
      </w:r>
      <w:r w:rsidRPr="00375D15">
        <w:rPr>
          <w:szCs w:val="28"/>
        </w:rPr>
        <w:t xml:space="preserve">(2016) Managing Democratic Structures in Africa </w:t>
      </w:r>
    </w:p>
    <w:p w:rsidR="0026675E" w:rsidRPr="00375D15" w:rsidRDefault="0026675E" w:rsidP="0026675E">
      <w:pPr>
        <w:pStyle w:val="NormalWeb"/>
        <w:spacing w:before="0" w:beforeAutospacing="0" w:after="0" w:afterAutospacing="0"/>
        <w:ind w:firstLine="720"/>
        <w:rPr>
          <w:szCs w:val="28"/>
        </w:rPr>
      </w:pPr>
      <w:r w:rsidRPr="00375D15">
        <w:rPr>
          <w:i/>
          <w:szCs w:val="28"/>
        </w:rPr>
        <w:t>Ilorin Journal of Administration and Development (IJAD)</w:t>
      </w:r>
      <w:r w:rsidRPr="00375D15">
        <w:rPr>
          <w:szCs w:val="28"/>
        </w:rPr>
        <w:t xml:space="preserve"> Vol 2 No 1</w:t>
      </w:r>
    </w:p>
    <w:p w:rsidR="0026675E" w:rsidRPr="00375D15" w:rsidRDefault="0026675E" w:rsidP="0026675E"/>
    <w:p w:rsidR="0026675E" w:rsidRPr="001E5DFA" w:rsidRDefault="0026675E" w:rsidP="0026675E">
      <w:pPr>
        <w:pStyle w:val="ListParagraph"/>
        <w:ind w:left="540"/>
        <w:rPr>
          <w:rFonts w:ascii="Garamond" w:hAnsi="Garamond"/>
          <w:b/>
          <w:sz w:val="28"/>
        </w:rPr>
      </w:pPr>
    </w:p>
    <w:p w:rsidR="0026675E" w:rsidRDefault="0026675E" w:rsidP="0026675E">
      <w:pPr>
        <w:rPr>
          <w:lang w:eastAsia="en-GB"/>
        </w:rPr>
      </w:pPr>
      <w:r w:rsidRPr="00386D08">
        <w:rPr>
          <w:lang w:eastAsia="en-GB"/>
        </w:rPr>
        <w:t xml:space="preserve">Bachmann, G. (2016). Science for Sustainability–A Societal and Political Perspective. In </w:t>
      </w:r>
    </w:p>
    <w:p w:rsidR="0026675E" w:rsidRPr="00386D08" w:rsidRDefault="0026675E" w:rsidP="0026675E">
      <w:pPr>
        <w:ind w:firstLine="720"/>
        <w:rPr>
          <w:lang w:eastAsia="en-GB"/>
        </w:rPr>
      </w:pPr>
      <w:r w:rsidRPr="00386D08">
        <w:rPr>
          <w:i/>
          <w:iCs/>
          <w:lang w:eastAsia="en-GB"/>
        </w:rPr>
        <w:t>Sustainability Science</w:t>
      </w:r>
      <w:r w:rsidRPr="00386D08">
        <w:rPr>
          <w:lang w:eastAsia="en-GB"/>
        </w:rPr>
        <w:t xml:space="preserve"> (pp. 359-367). Springer Netherlands.</w:t>
      </w:r>
    </w:p>
    <w:p w:rsidR="0026675E" w:rsidRPr="00386D08" w:rsidRDefault="0026675E" w:rsidP="0026675E">
      <w:pPr>
        <w:rPr>
          <w:sz w:val="28"/>
          <w:szCs w:val="28"/>
          <w:lang w:eastAsia="en-GB"/>
        </w:rPr>
      </w:pPr>
    </w:p>
    <w:p w:rsidR="0026675E" w:rsidRDefault="0026675E" w:rsidP="0026675E">
      <w:pPr>
        <w:rPr>
          <w:lang w:eastAsia="en-GB"/>
        </w:rPr>
      </w:pPr>
      <w:r w:rsidRPr="00C472B1">
        <w:rPr>
          <w:lang w:eastAsia="en-GB"/>
        </w:rPr>
        <w:t>Falkner G., Hartlapp</w:t>
      </w:r>
      <w:r w:rsidRPr="00386D08">
        <w:rPr>
          <w:lang w:eastAsia="en-GB"/>
        </w:rPr>
        <w:t xml:space="preserve"> </w:t>
      </w:r>
      <w:r w:rsidRPr="00C472B1">
        <w:rPr>
          <w:lang w:eastAsia="en-GB"/>
        </w:rPr>
        <w:t xml:space="preserve">M., Leiber S. and </w:t>
      </w:r>
      <w:r w:rsidRPr="00386D08">
        <w:rPr>
          <w:lang w:eastAsia="en-GB"/>
        </w:rPr>
        <w:t>Treib</w:t>
      </w:r>
      <w:r w:rsidRPr="00C472B1">
        <w:rPr>
          <w:lang w:eastAsia="en-GB"/>
        </w:rPr>
        <w:t xml:space="preserve"> O. (</w:t>
      </w:r>
      <w:r w:rsidRPr="00386D08">
        <w:rPr>
          <w:lang w:eastAsia="en-GB"/>
        </w:rPr>
        <w:t>2002</w:t>
      </w:r>
      <w:r w:rsidRPr="00C472B1">
        <w:rPr>
          <w:lang w:eastAsia="en-GB"/>
        </w:rPr>
        <w:t xml:space="preserve">). </w:t>
      </w:r>
      <w:r w:rsidRPr="00386D08">
        <w:rPr>
          <w:lang w:eastAsia="en-GB"/>
        </w:rPr>
        <w:t>Opposition through the Backdoor?</w:t>
      </w:r>
      <w:r w:rsidRPr="00C472B1">
        <w:rPr>
          <w:lang w:eastAsia="en-GB"/>
        </w:rPr>
        <w:t xml:space="preserve"> </w:t>
      </w:r>
    </w:p>
    <w:p w:rsidR="0026675E" w:rsidRPr="00386D08" w:rsidRDefault="0026675E" w:rsidP="0026675E">
      <w:pPr>
        <w:ind w:left="720"/>
        <w:rPr>
          <w:lang w:eastAsia="en-GB"/>
        </w:rPr>
      </w:pPr>
      <w:r w:rsidRPr="00386D08">
        <w:rPr>
          <w:lang w:eastAsia="en-GB"/>
        </w:rPr>
        <w:t>The Case of National Non-Compliance with EU Directives</w:t>
      </w:r>
      <w:r w:rsidRPr="00C472B1">
        <w:rPr>
          <w:lang w:eastAsia="en-GB"/>
        </w:rPr>
        <w:t xml:space="preserve"> </w:t>
      </w:r>
      <w:r w:rsidRPr="00386D08">
        <w:rPr>
          <w:i/>
          <w:lang w:eastAsia="en-GB"/>
        </w:rPr>
        <w:t>Institut für Höhere Studien (IHS), Wien</w:t>
      </w:r>
      <w:r w:rsidRPr="00C472B1">
        <w:rPr>
          <w:i/>
          <w:lang w:eastAsia="en-GB"/>
        </w:rPr>
        <w:t xml:space="preserve"> </w:t>
      </w:r>
      <w:r w:rsidRPr="00386D08">
        <w:rPr>
          <w:i/>
          <w:lang w:eastAsia="en-GB"/>
        </w:rPr>
        <w:t>Institute for Advanced Studies, Vienna</w:t>
      </w:r>
      <w:r w:rsidRPr="00C472B1">
        <w:rPr>
          <w:i/>
          <w:lang w:eastAsia="en-GB"/>
        </w:rPr>
        <w:t xml:space="preserve"> </w:t>
      </w:r>
      <w:r w:rsidRPr="00386D08">
        <w:rPr>
          <w:i/>
          <w:lang w:eastAsia="en-GB"/>
        </w:rPr>
        <w:t>Reihe Politikwissenschaft</w:t>
      </w:r>
      <w:r w:rsidRPr="00C472B1">
        <w:rPr>
          <w:i/>
          <w:lang w:eastAsia="en-GB"/>
        </w:rPr>
        <w:t xml:space="preserve"> </w:t>
      </w:r>
      <w:r w:rsidRPr="00386D08">
        <w:rPr>
          <w:i/>
          <w:lang w:eastAsia="en-GB"/>
        </w:rPr>
        <w:t>Political Science</w:t>
      </w:r>
      <w:r w:rsidRPr="00386D08">
        <w:rPr>
          <w:lang w:eastAsia="en-GB"/>
        </w:rPr>
        <w:t xml:space="preserve"> Series</w:t>
      </w:r>
      <w:r w:rsidRPr="00C472B1">
        <w:rPr>
          <w:lang w:eastAsia="en-GB"/>
        </w:rPr>
        <w:t xml:space="preserve"> </w:t>
      </w:r>
      <w:r w:rsidRPr="00386D08">
        <w:rPr>
          <w:lang w:eastAsia="en-GB"/>
        </w:rPr>
        <w:t>83</w:t>
      </w:r>
    </w:p>
    <w:p w:rsidR="0026675E" w:rsidRDefault="0026675E" w:rsidP="0026675E">
      <w:pPr>
        <w:rPr>
          <w:lang w:eastAsia="en-GB"/>
        </w:rPr>
      </w:pPr>
    </w:p>
    <w:p w:rsidR="0026675E" w:rsidRDefault="0026675E" w:rsidP="0026675E">
      <w:pPr>
        <w:rPr>
          <w:i/>
          <w:lang w:eastAsia="en-GB"/>
        </w:rPr>
      </w:pPr>
      <w:r w:rsidRPr="00386D08">
        <w:rPr>
          <w:lang w:eastAsia="en-GB"/>
        </w:rPr>
        <w:t xml:space="preserve">Gounev </w:t>
      </w:r>
      <w:r w:rsidRPr="00C472B1">
        <w:rPr>
          <w:lang w:eastAsia="en-GB"/>
        </w:rPr>
        <w:t>P.M. (</w:t>
      </w:r>
      <w:r w:rsidRPr="00386D08">
        <w:rPr>
          <w:lang w:eastAsia="en-GB"/>
        </w:rPr>
        <w:t>2011</w:t>
      </w:r>
      <w:r w:rsidRPr="00C472B1">
        <w:rPr>
          <w:lang w:eastAsia="en-GB"/>
        </w:rPr>
        <w:t xml:space="preserve">). </w:t>
      </w:r>
      <w:r w:rsidRPr="00386D08">
        <w:rPr>
          <w:lang w:eastAsia="en-GB"/>
        </w:rPr>
        <w:t>Backdoor traders: illicit entrepreneurs and legitimate markets</w:t>
      </w:r>
      <w:r w:rsidRPr="00C472B1">
        <w:rPr>
          <w:lang w:eastAsia="en-GB"/>
        </w:rPr>
        <w:t>.</w:t>
      </w:r>
      <w:r w:rsidRPr="00386D08">
        <w:rPr>
          <w:lang w:eastAsia="en-GB"/>
        </w:rPr>
        <w:t xml:space="preserve"> </w:t>
      </w:r>
      <w:r w:rsidRPr="00386D08">
        <w:rPr>
          <w:i/>
          <w:lang w:eastAsia="en-GB"/>
        </w:rPr>
        <w:t xml:space="preserve">A thesis </w:t>
      </w:r>
    </w:p>
    <w:p w:rsidR="0026675E" w:rsidRPr="00386D08" w:rsidRDefault="0026675E" w:rsidP="0026675E">
      <w:pPr>
        <w:ind w:left="720"/>
        <w:rPr>
          <w:lang w:eastAsia="en-GB"/>
        </w:rPr>
      </w:pPr>
      <w:r w:rsidRPr="00386D08">
        <w:rPr>
          <w:i/>
          <w:lang w:eastAsia="en-GB"/>
        </w:rPr>
        <w:t>submitted to the Department of Sociology of the London School of Economics for the degree of Doctor</w:t>
      </w:r>
      <w:r w:rsidRPr="00C472B1">
        <w:rPr>
          <w:i/>
          <w:lang w:eastAsia="en-GB"/>
        </w:rPr>
        <w:t xml:space="preserve"> </w:t>
      </w:r>
      <w:r w:rsidRPr="00386D08">
        <w:rPr>
          <w:i/>
          <w:lang w:eastAsia="en-GB"/>
        </w:rPr>
        <w:t>of Philosophy</w:t>
      </w:r>
      <w:r w:rsidRPr="00386D08">
        <w:rPr>
          <w:lang w:eastAsia="en-GB"/>
        </w:rPr>
        <w:t>, London, The London School of Economics and Political Science</w:t>
      </w:r>
    </w:p>
    <w:p w:rsidR="0026675E" w:rsidRDefault="0026675E" w:rsidP="0026675E">
      <w:pPr>
        <w:rPr>
          <w:lang w:eastAsia="en-GB"/>
        </w:rPr>
      </w:pPr>
    </w:p>
    <w:p w:rsidR="0026675E" w:rsidRDefault="0026675E" w:rsidP="0026675E">
      <w:pPr>
        <w:rPr>
          <w:lang w:eastAsia="en-GB"/>
        </w:rPr>
      </w:pPr>
      <w:r w:rsidRPr="00386D08">
        <w:rPr>
          <w:lang w:eastAsia="en-GB"/>
        </w:rPr>
        <w:t>Ho, E. L. E., &amp; Chua, L. J. (2015). Law and ‘race’</w:t>
      </w:r>
      <w:r>
        <w:rPr>
          <w:lang w:eastAsia="en-GB"/>
        </w:rPr>
        <w:t xml:space="preserve"> </w:t>
      </w:r>
      <w:r w:rsidRPr="00386D08">
        <w:rPr>
          <w:lang w:eastAsia="en-GB"/>
        </w:rPr>
        <w:t xml:space="preserve">in the citizenship spaces of Myanmar: </w:t>
      </w:r>
    </w:p>
    <w:p w:rsidR="0026675E" w:rsidRPr="00386D08" w:rsidRDefault="0026675E" w:rsidP="0026675E">
      <w:pPr>
        <w:ind w:left="720"/>
        <w:rPr>
          <w:lang w:eastAsia="en-GB"/>
        </w:rPr>
      </w:pPr>
      <w:r w:rsidRPr="00386D08">
        <w:rPr>
          <w:lang w:eastAsia="en-GB"/>
        </w:rPr>
        <w:t xml:space="preserve">spatial strategies and the political subjectivity of the Burmese Chinese. </w:t>
      </w:r>
      <w:r w:rsidRPr="00386D08">
        <w:rPr>
          <w:i/>
          <w:iCs/>
          <w:lang w:eastAsia="en-GB"/>
        </w:rPr>
        <w:t>Ethnic and Racial Studies</w:t>
      </w:r>
      <w:r w:rsidRPr="00386D08">
        <w:rPr>
          <w:lang w:eastAsia="en-GB"/>
        </w:rPr>
        <w:t>, 1-21.</w:t>
      </w:r>
    </w:p>
    <w:p w:rsidR="0026675E" w:rsidRDefault="0026675E" w:rsidP="0026675E">
      <w:pPr>
        <w:rPr>
          <w:lang w:eastAsia="en-GB"/>
        </w:rPr>
      </w:pPr>
    </w:p>
    <w:p w:rsidR="0026675E" w:rsidRDefault="0026675E" w:rsidP="0026675E">
      <w:pPr>
        <w:rPr>
          <w:lang w:eastAsia="en-GB"/>
        </w:rPr>
      </w:pPr>
    </w:p>
    <w:p w:rsidR="0026675E" w:rsidRDefault="0026675E" w:rsidP="0026675E">
      <w:pPr>
        <w:rPr>
          <w:i/>
          <w:iCs/>
          <w:lang w:eastAsia="en-GB"/>
        </w:rPr>
      </w:pPr>
      <w:r w:rsidRPr="007571FD">
        <w:rPr>
          <w:lang w:eastAsia="en-GB"/>
        </w:rPr>
        <w:t xml:space="preserve">Müller, C. (2015). NGOs. A new history of transnational civil society. </w:t>
      </w:r>
      <w:r w:rsidRPr="007571FD">
        <w:rPr>
          <w:i/>
          <w:iCs/>
          <w:lang w:eastAsia="en-GB"/>
        </w:rPr>
        <w:t xml:space="preserve">European Review of </w:t>
      </w:r>
    </w:p>
    <w:p w:rsidR="0026675E" w:rsidRPr="007571FD" w:rsidRDefault="0026675E" w:rsidP="0026675E">
      <w:pPr>
        <w:ind w:firstLine="720"/>
        <w:rPr>
          <w:lang w:eastAsia="en-GB"/>
        </w:rPr>
      </w:pPr>
      <w:r w:rsidRPr="007571FD">
        <w:rPr>
          <w:i/>
          <w:iCs/>
          <w:lang w:eastAsia="en-GB"/>
        </w:rPr>
        <w:t>History: Revue européenne d'histoire</w:t>
      </w:r>
      <w:r w:rsidRPr="007571FD">
        <w:rPr>
          <w:lang w:eastAsia="en-GB"/>
        </w:rPr>
        <w:t>, 1-3.</w:t>
      </w:r>
    </w:p>
    <w:p w:rsidR="0026675E" w:rsidRDefault="0026675E" w:rsidP="0026675E"/>
    <w:p w:rsidR="0026675E" w:rsidRDefault="0026675E" w:rsidP="0026675E">
      <w:pPr>
        <w:jc w:val="both"/>
        <w:rPr>
          <w:lang w:eastAsia="en-GB"/>
        </w:rPr>
      </w:pPr>
      <w:r w:rsidRPr="00386D08">
        <w:rPr>
          <w:lang w:eastAsia="en-GB"/>
        </w:rPr>
        <w:t>Paiano</w:t>
      </w:r>
      <w:r w:rsidRPr="00C472B1">
        <w:rPr>
          <w:lang w:eastAsia="en-GB"/>
        </w:rPr>
        <w:t xml:space="preserve"> </w:t>
      </w:r>
      <w:r>
        <w:rPr>
          <w:lang w:eastAsia="en-GB"/>
        </w:rPr>
        <w:t xml:space="preserve">M. </w:t>
      </w:r>
      <w:r w:rsidRPr="00C472B1">
        <w:rPr>
          <w:lang w:eastAsia="en-GB"/>
        </w:rPr>
        <w:t>(</w:t>
      </w:r>
      <w:r w:rsidRPr="00386D08">
        <w:rPr>
          <w:lang w:eastAsia="en-GB"/>
        </w:rPr>
        <w:t>2008</w:t>
      </w:r>
      <w:r w:rsidRPr="00C472B1">
        <w:rPr>
          <w:lang w:eastAsia="en-GB"/>
        </w:rPr>
        <w:t xml:space="preserve">). </w:t>
      </w:r>
      <w:r w:rsidRPr="00386D08">
        <w:rPr>
          <w:lang w:eastAsia="en-GB"/>
        </w:rPr>
        <w:t xml:space="preserve">Democratisation through the backdoor: Civilian Power Europe and the </w:t>
      </w:r>
    </w:p>
    <w:p w:rsidR="0026675E" w:rsidRPr="00386D08" w:rsidRDefault="0026675E" w:rsidP="0026675E">
      <w:pPr>
        <w:ind w:left="720"/>
        <w:jc w:val="both"/>
        <w:rPr>
          <w:lang w:eastAsia="en-GB"/>
        </w:rPr>
      </w:pPr>
      <w:r w:rsidRPr="00386D08">
        <w:rPr>
          <w:lang w:eastAsia="en-GB"/>
        </w:rPr>
        <w:t xml:space="preserve">European Neighbourhood Policy. A Republican interpretation of political conditionality, </w:t>
      </w:r>
      <w:r w:rsidRPr="00386D08">
        <w:rPr>
          <w:i/>
          <w:lang w:eastAsia="en-GB"/>
        </w:rPr>
        <w:t xml:space="preserve">University of Essex </w:t>
      </w:r>
      <w:r w:rsidRPr="00C472B1">
        <w:rPr>
          <w:i/>
          <w:lang w:eastAsia="en-GB"/>
        </w:rPr>
        <w:t>GARNET Working Paper</w:t>
      </w:r>
      <w:r w:rsidRPr="00C472B1">
        <w:rPr>
          <w:lang w:eastAsia="en-GB"/>
        </w:rPr>
        <w:t xml:space="preserve"> No: 42/08</w:t>
      </w:r>
    </w:p>
    <w:p w:rsidR="0026675E" w:rsidRPr="00C472B1" w:rsidRDefault="0026675E" w:rsidP="0026675E"/>
    <w:p w:rsidR="0026675E" w:rsidRDefault="0026675E" w:rsidP="0026675E">
      <w:pPr>
        <w:rPr>
          <w:lang w:eastAsia="en-GB"/>
        </w:rPr>
      </w:pPr>
      <w:r w:rsidRPr="00386D08">
        <w:rPr>
          <w:lang w:eastAsia="en-GB"/>
        </w:rPr>
        <w:t xml:space="preserve">Tadros, M. (2015). Beyond Tinkering with the System: Rethinking Gender, Power and </w:t>
      </w:r>
    </w:p>
    <w:p w:rsidR="0026675E" w:rsidRDefault="0026675E" w:rsidP="0026675E">
      <w:pPr>
        <w:ind w:firstLine="720"/>
        <w:rPr>
          <w:lang w:eastAsia="en-GB"/>
        </w:rPr>
      </w:pPr>
      <w:r w:rsidRPr="00386D08">
        <w:rPr>
          <w:lang w:eastAsia="en-GB"/>
        </w:rPr>
        <w:t xml:space="preserve">Politics. </w:t>
      </w:r>
      <w:r w:rsidRPr="00386D08">
        <w:rPr>
          <w:i/>
          <w:iCs/>
          <w:lang w:eastAsia="en-GB"/>
        </w:rPr>
        <w:t>IDS Bulletin</w:t>
      </w:r>
      <w:r w:rsidRPr="00386D08">
        <w:rPr>
          <w:lang w:eastAsia="en-GB"/>
        </w:rPr>
        <w:t xml:space="preserve">, </w:t>
      </w:r>
      <w:r w:rsidRPr="00386D08">
        <w:rPr>
          <w:i/>
          <w:iCs/>
          <w:lang w:eastAsia="en-GB"/>
        </w:rPr>
        <w:t>46</w:t>
      </w:r>
      <w:r w:rsidRPr="00386D08">
        <w:rPr>
          <w:lang w:eastAsia="en-GB"/>
        </w:rPr>
        <w:t>(4), 66-74.</w:t>
      </w:r>
    </w:p>
    <w:p w:rsidR="0026675E" w:rsidRPr="00C472B1" w:rsidRDefault="0026675E" w:rsidP="0026675E">
      <w:pPr>
        <w:rPr>
          <w:lang w:eastAsia="en-GB"/>
        </w:rPr>
      </w:pPr>
    </w:p>
    <w:p w:rsidR="0026675E" w:rsidRDefault="0026675E" w:rsidP="0026675E">
      <w:pPr>
        <w:rPr>
          <w:lang w:eastAsia="en-GB"/>
        </w:rPr>
      </w:pPr>
      <w:r w:rsidRPr="00386D08">
        <w:rPr>
          <w:lang w:eastAsia="en-GB"/>
        </w:rPr>
        <w:t>Trautman, R. R. (2016). Small</w:t>
      </w:r>
      <w:r w:rsidRPr="00386D08">
        <w:rPr>
          <w:rFonts w:ascii="Cambria Math" w:hAnsi="Cambria Math"/>
          <w:lang w:eastAsia="en-GB"/>
        </w:rPr>
        <w:t>‐</w:t>
      </w:r>
      <w:r w:rsidRPr="00386D08">
        <w:rPr>
          <w:lang w:eastAsia="en-GB"/>
        </w:rPr>
        <w:t xml:space="preserve">Town Policy Makers. </w:t>
      </w:r>
      <w:r w:rsidRPr="00386D08">
        <w:rPr>
          <w:i/>
          <w:iCs/>
          <w:lang w:eastAsia="en-GB"/>
        </w:rPr>
        <w:t>Public Administration Review</w:t>
      </w:r>
      <w:r w:rsidRPr="00386D08">
        <w:rPr>
          <w:lang w:eastAsia="en-GB"/>
        </w:rPr>
        <w:t xml:space="preserve">, </w:t>
      </w:r>
      <w:r w:rsidRPr="00386D08">
        <w:rPr>
          <w:i/>
          <w:iCs/>
          <w:lang w:eastAsia="en-GB"/>
        </w:rPr>
        <w:t>76</w:t>
      </w:r>
      <w:r w:rsidRPr="00386D08">
        <w:rPr>
          <w:lang w:eastAsia="en-GB"/>
        </w:rPr>
        <w:t xml:space="preserve">(2), </w:t>
      </w:r>
    </w:p>
    <w:p w:rsidR="0026675E" w:rsidRPr="00386D08" w:rsidRDefault="0026675E" w:rsidP="0026675E">
      <w:pPr>
        <w:ind w:firstLine="720"/>
        <w:rPr>
          <w:lang w:eastAsia="en-GB"/>
        </w:rPr>
      </w:pPr>
      <w:r w:rsidRPr="00386D08">
        <w:rPr>
          <w:lang w:eastAsia="en-GB"/>
        </w:rPr>
        <w:t>221-224.</w:t>
      </w:r>
    </w:p>
    <w:p w:rsidR="0026675E" w:rsidRPr="00C472B1" w:rsidRDefault="0026675E" w:rsidP="0026675E"/>
    <w:p w:rsidR="0026675E" w:rsidRPr="00386D08" w:rsidRDefault="0026675E" w:rsidP="0026675E">
      <w:pPr>
        <w:rPr>
          <w:lang w:eastAsia="en-GB"/>
        </w:rPr>
      </w:pPr>
    </w:p>
    <w:p w:rsidR="0026675E" w:rsidRDefault="0026675E" w:rsidP="0026675E"/>
    <w:p w:rsidR="0026675E" w:rsidRDefault="0026675E" w:rsidP="0026675E"/>
    <w:p w:rsidR="0026675E" w:rsidRDefault="0026675E"/>
    <w:sectPr w:rsidR="0026675E" w:rsidSect="002C2A4F">
      <w:pgSz w:w="11906" w:h="16838" w:code="9"/>
      <w:pgMar w:top="1170" w:right="926" w:bottom="3119" w:left="1800" w:header="2552" w:footer="2552"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6675E"/>
    <w:rsid w:val="000603C6"/>
    <w:rsid w:val="000A21A5"/>
    <w:rsid w:val="001F0DFA"/>
    <w:rsid w:val="0026675E"/>
    <w:rsid w:val="00280257"/>
    <w:rsid w:val="002C2A4F"/>
    <w:rsid w:val="00555D75"/>
    <w:rsid w:val="006756D3"/>
    <w:rsid w:val="00773048"/>
    <w:rsid w:val="008E0F44"/>
    <w:rsid w:val="00A81E52"/>
    <w:rsid w:val="00AA5F37"/>
    <w:rsid w:val="00B52F81"/>
    <w:rsid w:val="00C96FA5"/>
    <w:rsid w:val="00EE21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75E"/>
    <w:pPr>
      <w:spacing w:after="0" w:line="240" w:lineRule="auto"/>
    </w:pPr>
    <w:rPr>
      <w:rFonts w:ascii="Times New Roman" w:eastAsia="Times New Roman" w:hAnsi="Times New Roman" w:cs="Times New Roman"/>
      <w:sz w:val="24"/>
      <w:szCs w:val="24"/>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6675E"/>
    <w:rPr>
      <w:color w:val="0000FF"/>
      <w:u w:val="single"/>
    </w:rPr>
  </w:style>
  <w:style w:type="paragraph" w:styleId="BalloonText">
    <w:name w:val="Balloon Text"/>
    <w:basedOn w:val="Normal"/>
    <w:link w:val="BalloonTextChar"/>
    <w:uiPriority w:val="99"/>
    <w:semiHidden/>
    <w:unhideWhenUsed/>
    <w:rsid w:val="0026675E"/>
    <w:rPr>
      <w:rFonts w:ascii="Tahoma" w:hAnsi="Tahoma" w:cs="Tahoma"/>
      <w:sz w:val="16"/>
      <w:szCs w:val="16"/>
    </w:rPr>
  </w:style>
  <w:style w:type="character" w:customStyle="1" w:styleId="BalloonTextChar">
    <w:name w:val="Balloon Text Char"/>
    <w:basedOn w:val="DefaultParagraphFont"/>
    <w:link w:val="BalloonText"/>
    <w:uiPriority w:val="99"/>
    <w:semiHidden/>
    <w:rsid w:val="0026675E"/>
    <w:rPr>
      <w:rFonts w:ascii="Tahoma" w:eastAsia="Times New Roman" w:hAnsi="Tahoma" w:cs="Tahoma"/>
      <w:sz w:val="16"/>
      <w:szCs w:val="16"/>
      <w:lang w:val="sr-Latn-CS" w:eastAsia="sr-Latn-CS"/>
    </w:rPr>
  </w:style>
  <w:style w:type="table" w:styleId="TableGrid">
    <w:name w:val="Table Grid"/>
    <w:basedOn w:val="TableNormal"/>
    <w:uiPriority w:val="59"/>
    <w:rsid w:val="0026675E"/>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75E"/>
    <w:pPr>
      <w:ind w:left="720"/>
      <w:contextualSpacing/>
    </w:pPr>
    <w:rPr>
      <w:rFonts w:eastAsia="SimSun"/>
      <w:lang w:val="en-US" w:eastAsia="zh-CN"/>
    </w:rPr>
  </w:style>
  <w:style w:type="paragraph" w:styleId="NormalWeb">
    <w:name w:val="Normal (Web)"/>
    <w:basedOn w:val="Normal"/>
    <w:uiPriority w:val="99"/>
    <w:unhideWhenUsed/>
    <w:rsid w:val="0026675E"/>
    <w:pPr>
      <w:spacing w:before="100" w:beforeAutospacing="1" w:after="100" w:afterAutospacing="1"/>
    </w:pPr>
    <w:rPr>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image" Target="media/image1.jpeg"/><Relationship Id="rId10" Type="http://schemas.openxmlformats.org/officeDocument/2006/relationships/chart" Target="charts/chart5.xml"/><Relationship Id="rId4" Type="http://schemas.openxmlformats.org/officeDocument/2006/relationships/hyperlink" Target="mailto:opealukoheavenprogress@gmail.com" TargetMode="Externa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PC\Documents\ARTICLES\Informalities\Ethnic_groups_political_influenc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PC\Documents\ARTICLES\Informalities\How_often_officials_unpunished.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PC\Documents\ARTICLES\Informalities\Traditional_leaders_influence_governing_local_community.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PC\Documents\ARTICLES\Informalities\Influence_of_civic_organizations_and_NGO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PC\Documents\ARTICLES\Informalities\Influence_of_international_businesses_and_investors.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P-PC\Documents\ARTICLES\Informalities\Influence_of_International_donors_and_NGO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a:pPr>
            <a:r>
              <a:rPr lang="en-GB" sz="1800" b="1" i="0" u="none" strike="noStrike" baseline="0"/>
              <a:t>Ethnic group´s political influence </a:t>
            </a:r>
            <a:endParaRPr lang="en-GB"/>
          </a:p>
        </c:rich>
      </c:tx>
    </c:title>
    <c:plotArea>
      <c:layout/>
      <c:barChart>
        <c:barDir val="col"/>
        <c:grouping val="clustered"/>
        <c:ser>
          <c:idx val="1"/>
          <c:order val="0"/>
          <c:tx>
            <c:strRef>
              <c:f>Hoja1!$G$188</c:f>
              <c:strCache>
                <c:ptCount val="1"/>
                <c:pt idx="0">
                  <c:v>Much more</c:v>
                </c:pt>
              </c:strCache>
            </c:strRef>
          </c:tx>
          <c:dLbls>
            <c:txPr>
              <a:bodyPr/>
              <a:lstStyle/>
              <a:p>
                <a:pPr>
                  <a:defRPr lang="en-GB"/>
                </a:pPr>
                <a:endParaRPr lang="en-US"/>
              </a:p>
            </c:txPr>
            <c:dLblPos val="inEnd"/>
            <c:showVal val="1"/>
          </c:dLbls>
          <c:cat>
            <c:strRef>
              <c:f>Hoja1!$H$186:$J$186</c:f>
              <c:strCache>
                <c:ptCount val="3"/>
                <c:pt idx="0">
                  <c:v>Kenya</c:v>
                </c:pt>
                <c:pt idx="1">
                  <c:v>Nigeria</c:v>
                </c:pt>
                <c:pt idx="2">
                  <c:v>South Africa</c:v>
                </c:pt>
              </c:strCache>
            </c:strRef>
          </c:cat>
          <c:val>
            <c:numRef>
              <c:f>Hoja1!$H$188:$J$188</c:f>
              <c:numCache>
                <c:formatCode>General</c:formatCode>
                <c:ptCount val="3"/>
                <c:pt idx="0">
                  <c:v>8</c:v>
                </c:pt>
                <c:pt idx="1">
                  <c:v>11</c:v>
                </c:pt>
                <c:pt idx="2">
                  <c:v>6</c:v>
                </c:pt>
              </c:numCache>
            </c:numRef>
          </c:val>
        </c:ser>
        <c:ser>
          <c:idx val="2"/>
          <c:order val="1"/>
          <c:tx>
            <c:strRef>
              <c:f>Hoja1!$G$189</c:f>
              <c:strCache>
                <c:ptCount val="1"/>
                <c:pt idx="0">
                  <c:v>More</c:v>
                </c:pt>
              </c:strCache>
            </c:strRef>
          </c:tx>
          <c:dLbls>
            <c:txPr>
              <a:bodyPr/>
              <a:lstStyle/>
              <a:p>
                <a:pPr>
                  <a:defRPr lang="en-GB"/>
                </a:pPr>
                <a:endParaRPr lang="en-US"/>
              </a:p>
            </c:txPr>
            <c:dLblPos val="inEnd"/>
            <c:showVal val="1"/>
          </c:dLbls>
          <c:cat>
            <c:strRef>
              <c:f>Hoja1!$H$186:$J$186</c:f>
              <c:strCache>
                <c:ptCount val="3"/>
                <c:pt idx="0">
                  <c:v>Kenya</c:v>
                </c:pt>
                <c:pt idx="1">
                  <c:v>Nigeria</c:v>
                </c:pt>
                <c:pt idx="2">
                  <c:v>South Africa</c:v>
                </c:pt>
              </c:strCache>
            </c:strRef>
          </c:cat>
          <c:val>
            <c:numRef>
              <c:f>Hoja1!$H$189:$J$189</c:f>
              <c:numCache>
                <c:formatCode>General</c:formatCode>
                <c:ptCount val="3"/>
                <c:pt idx="0">
                  <c:v>16</c:v>
                </c:pt>
                <c:pt idx="1">
                  <c:v>19</c:v>
                </c:pt>
                <c:pt idx="2">
                  <c:v>10</c:v>
                </c:pt>
              </c:numCache>
            </c:numRef>
          </c:val>
        </c:ser>
        <c:ser>
          <c:idx val="3"/>
          <c:order val="2"/>
          <c:tx>
            <c:strRef>
              <c:f>Hoja1!$G$190</c:f>
              <c:strCache>
                <c:ptCount val="1"/>
                <c:pt idx="0">
                  <c:v>Same</c:v>
                </c:pt>
              </c:strCache>
            </c:strRef>
          </c:tx>
          <c:dLbls>
            <c:txPr>
              <a:bodyPr/>
              <a:lstStyle/>
              <a:p>
                <a:pPr>
                  <a:defRPr lang="en-GB"/>
                </a:pPr>
                <a:endParaRPr lang="en-US"/>
              </a:p>
            </c:txPr>
            <c:dLblPos val="inEnd"/>
            <c:showVal val="1"/>
          </c:dLbls>
          <c:cat>
            <c:strRef>
              <c:f>Hoja1!$H$186:$J$186</c:f>
              <c:strCache>
                <c:ptCount val="3"/>
                <c:pt idx="0">
                  <c:v>Kenya</c:v>
                </c:pt>
                <c:pt idx="1">
                  <c:v>Nigeria</c:v>
                </c:pt>
                <c:pt idx="2">
                  <c:v>South Africa</c:v>
                </c:pt>
              </c:strCache>
            </c:strRef>
          </c:cat>
          <c:val>
            <c:numRef>
              <c:f>Hoja1!$H$190:$J$190</c:f>
              <c:numCache>
                <c:formatCode>General</c:formatCode>
                <c:ptCount val="3"/>
                <c:pt idx="0">
                  <c:v>36</c:v>
                </c:pt>
                <c:pt idx="1">
                  <c:v>38</c:v>
                </c:pt>
                <c:pt idx="2">
                  <c:v>41</c:v>
                </c:pt>
              </c:numCache>
            </c:numRef>
          </c:val>
        </c:ser>
        <c:ser>
          <c:idx val="4"/>
          <c:order val="3"/>
          <c:tx>
            <c:strRef>
              <c:f>Hoja1!$G$191</c:f>
              <c:strCache>
                <c:ptCount val="1"/>
                <c:pt idx="0">
                  <c:v>Less</c:v>
                </c:pt>
              </c:strCache>
            </c:strRef>
          </c:tx>
          <c:dLbls>
            <c:txPr>
              <a:bodyPr/>
              <a:lstStyle/>
              <a:p>
                <a:pPr>
                  <a:defRPr lang="en-GB"/>
                </a:pPr>
                <a:endParaRPr lang="en-US"/>
              </a:p>
            </c:txPr>
            <c:dLblPos val="inEnd"/>
            <c:showVal val="1"/>
          </c:dLbls>
          <c:cat>
            <c:strRef>
              <c:f>Hoja1!$H$186:$J$186</c:f>
              <c:strCache>
                <c:ptCount val="3"/>
                <c:pt idx="0">
                  <c:v>Kenya</c:v>
                </c:pt>
                <c:pt idx="1">
                  <c:v>Nigeria</c:v>
                </c:pt>
                <c:pt idx="2">
                  <c:v>South Africa</c:v>
                </c:pt>
              </c:strCache>
            </c:strRef>
          </c:cat>
          <c:val>
            <c:numRef>
              <c:f>Hoja1!$H$191:$J$191</c:f>
              <c:numCache>
                <c:formatCode>General</c:formatCode>
                <c:ptCount val="3"/>
                <c:pt idx="0">
                  <c:v>25</c:v>
                </c:pt>
                <c:pt idx="1">
                  <c:v>22</c:v>
                </c:pt>
                <c:pt idx="2">
                  <c:v>13</c:v>
                </c:pt>
              </c:numCache>
            </c:numRef>
          </c:val>
        </c:ser>
        <c:ser>
          <c:idx val="5"/>
          <c:order val="4"/>
          <c:tx>
            <c:strRef>
              <c:f>Hoja1!$G$192</c:f>
              <c:strCache>
                <c:ptCount val="1"/>
                <c:pt idx="0">
                  <c:v>Much less</c:v>
                </c:pt>
              </c:strCache>
            </c:strRef>
          </c:tx>
          <c:dLbls>
            <c:txPr>
              <a:bodyPr/>
              <a:lstStyle/>
              <a:p>
                <a:pPr>
                  <a:defRPr lang="en-GB"/>
                </a:pPr>
                <a:endParaRPr lang="en-US"/>
              </a:p>
            </c:txPr>
            <c:dLblPos val="inEnd"/>
            <c:showVal val="1"/>
          </c:dLbls>
          <c:cat>
            <c:strRef>
              <c:f>Hoja1!$H$186:$J$186</c:f>
              <c:strCache>
                <c:ptCount val="3"/>
                <c:pt idx="0">
                  <c:v>Kenya</c:v>
                </c:pt>
                <c:pt idx="1">
                  <c:v>Nigeria</c:v>
                </c:pt>
                <c:pt idx="2">
                  <c:v>South Africa</c:v>
                </c:pt>
              </c:strCache>
            </c:strRef>
          </c:cat>
          <c:val>
            <c:numRef>
              <c:f>Hoja1!$H$192:$J$192</c:f>
              <c:numCache>
                <c:formatCode>General</c:formatCode>
                <c:ptCount val="3"/>
                <c:pt idx="0">
                  <c:v>13</c:v>
                </c:pt>
                <c:pt idx="1">
                  <c:v>6</c:v>
                </c:pt>
                <c:pt idx="2">
                  <c:v>7</c:v>
                </c:pt>
              </c:numCache>
            </c:numRef>
          </c:val>
        </c:ser>
        <c:dLbls>
          <c:showVal val="1"/>
        </c:dLbls>
        <c:axId val="60453248"/>
        <c:axId val="60454784"/>
      </c:barChart>
      <c:catAx>
        <c:axId val="60453248"/>
        <c:scaling>
          <c:orientation val="minMax"/>
        </c:scaling>
        <c:axPos val="b"/>
        <c:tickLblPos val="nextTo"/>
        <c:txPr>
          <a:bodyPr/>
          <a:lstStyle/>
          <a:p>
            <a:pPr>
              <a:defRPr lang="en-GB"/>
            </a:pPr>
            <a:endParaRPr lang="en-US"/>
          </a:p>
        </c:txPr>
        <c:crossAx val="60454784"/>
        <c:crosses val="autoZero"/>
        <c:auto val="1"/>
        <c:lblAlgn val="ctr"/>
        <c:lblOffset val="100"/>
      </c:catAx>
      <c:valAx>
        <c:axId val="60454784"/>
        <c:scaling>
          <c:orientation val="minMax"/>
        </c:scaling>
        <c:axPos val="l"/>
        <c:majorGridlines/>
        <c:numFmt formatCode="General" sourceLinked="1"/>
        <c:tickLblPos val="nextTo"/>
        <c:txPr>
          <a:bodyPr/>
          <a:lstStyle/>
          <a:p>
            <a:pPr>
              <a:defRPr lang="en-GB"/>
            </a:pPr>
            <a:endParaRPr lang="en-US"/>
          </a:p>
        </c:txPr>
        <c:crossAx val="60453248"/>
        <c:crosses val="autoZero"/>
        <c:crossBetween val="between"/>
      </c:valAx>
    </c:plotArea>
    <c:legend>
      <c:legendPos val="r"/>
      <c:txPr>
        <a:bodyPr/>
        <a:lstStyle/>
        <a:p>
          <a:pPr>
            <a:defRPr lang="en-GB"/>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a:pPr>
            <a:r>
              <a:rPr lang="en-GB"/>
              <a:t>How often officials unpunished</a:t>
            </a:r>
          </a:p>
        </c:rich>
      </c:tx>
    </c:title>
    <c:plotArea>
      <c:layout/>
      <c:barChart>
        <c:barDir val="col"/>
        <c:grouping val="clustered"/>
        <c:ser>
          <c:idx val="1"/>
          <c:order val="0"/>
          <c:tx>
            <c:strRef>
              <c:f>Hoja1!$H$248</c:f>
              <c:strCache>
                <c:ptCount val="1"/>
                <c:pt idx="0">
                  <c:v>Never</c:v>
                </c:pt>
              </c:strCache>
            </c:strRef>
          </c:tx>
          <c:dLbls>
            <c:txPr>
              <a:bodyPr/>
              <a:lstStyle/>
              <a:p>
                <a:pPr>
                  <a:defRPr lang="en-GB"/>
                </a:pPr>
                <a:endParaRPr lang="en-US"/>
              </a:p>
            </c:txPr>
            <c:dLblPos val="ctr"/>
            <c:showVal val="1"/>
          </c:dLbls>
          <c:cat>
            <c:strRef>
              <c:f>Hoja1!$I$246:$K$246</c:f>
              <c:strCache>
                <c:ptCount val="3"/>
                <c:pt idx="0">
                  <c:v>Kenya</c:v>
                </c:pt>
                <c:pt idx="1">
                  <c:v>Nigeria</c:v>
                </c:pt>
                <c:pt idx="2">
                  <c:v>South Africa</c:v>
                </c:pt>
              </c:strCache>
            </c:strRef>
          </c:cat>
          <c:val>
            <c:numRef>
              <c:f>Hoja1!$I$248:$K$248</c:f>
              <c:numCache>
                <c:formatCode>General</c:formatCode>
                <c:ptCount val="3"/>
                <c:pt idx="0">
                  <c:v>7</c:v>
                </c:pt>
                <c:pt idx="1">
                  <c:v>11</c:v>
                </c:pt>
                <c:pt idx="2">
                  <c:v>19</c:v>
                </c:pt>
              </c:numCache>
            </c:numRef>
          </c:val>
        </c:ser>
        <c:ser>
          <c:idx val="2"/>
          <c:order val="1"/>
          <c:tx>
            <c:strRef>
              <c:f>Hoja1!$H$249</c:f>
              <c:strCache>
                <c:ptCount val="1"/>
                <c:pt idx="0">
                  <c:v>Rarely</c:v>
                </c:pt>
              </c:strCache>
            </c:strRef>
          </c:tx>
          <c:dLbls>
            <c:txPr>
              <a:bodyPr/>
              <a:lstStyle/>
              <a:p>
                <a:pPr>
                  <a:defRPr lang="en-GB"/>
                </a:pPr>
                <a:endParaRPr lang="en-US"/>
              </a:p>
            </c:txPr>
            <c:dLblPos val="ctr"/>
            <c:showVal val="1"/>
          </c:dLbls>
          <c:cat>
            <c:strRef>
              <c:f>Hoja1!$I$246:$K$246</c:f>
              <c:strCache>
                <c:ptCount val="3"/>
                <c:pt idx="0">
                  <c:v>Kenya</c:v>
                </c:pt>
                <c:pt idx="1">
                  <c:v>Nigeria</c:v>
                </c:pt>
                <c:pt idx="2">
                  <c:v>South Africa</c:v>
                </c:pt>
              </c:strCache>
            </c:strRef>
          </c:cat>
          <c:val>
            <c:numRef>
              <c:f>Hoja1!$I$249:$K$249</c:f>
              <c:numCache>
                <c:formatCode>General</c:formatCode>
                <c:ptCount val="3"/>
                <c:pt idx="0">
                  <c:v>13</c:v>
                </c:pt>
                <c:pt idx="1">
                  <c:v>19</c:v>
                </c:pt>
                <c:pt idx="2">
                  <c:v>23</c:v>
                </c:pt>
              </c:numCache>
            </c:numRef>
          </c:val>
        </c:ser>
        <c:ser>
          <c:idx val="3"/>
          <c:order val="2"/>
          <c:tx>
            <c:strRef>
              <c:f>Hoja1!$H$250</c:f>
              <c:strCache>
                <c:ptCount val="1"/>
                <c:pt idx="0">
                  <c:v>Often</c:v>
                </c:pt>
              </c:strCache>
            </c:strRef>
          </c:tx>
          <c:dLbls>
            <c:txPr>
              <a:bodyPr/>
              <a:lstStyle/>
              <a:p>
                <a:pPr>
                  <a:defRPr lang="en-GB"/>
                </a:pPr>
                <a:endParaRPr lang="en-US"/>
              </a:p>
            </c:txPr>
            <c:dLblPos val="ctr"/>
            <c:showVal val="1"/>
          </c:dLbls>
          <c:cat>
            <c:strRef>
              <c:f>Hoja1!$I$246:$K$246</c:f>
              <c:strCache>
                <c:ptCount val="3"/>
                <c:pt idx="0">
                  <c:v>Kenya</c:v>
                </c:pt>
                <c:pt idx="1">
                  <c:v>Nigeria</c:v>
                </c:pt>
                <c:pt idx="2">
                  <c:v>South Africa</c:v>
                </c:pt>
              </c:strCache>
            </c:strRef>
          </c:cat>
          <c:val>
            <c:numRef>
              <c:f>Hoja1!$I$250:$K$250</c:f>
              <c:numCache>
                <c:formatCode>General</c:formatCode>
                <c:ptCount val="3"/>
                <c:pt idx="0">
                  <c:v>37</c:v>
                </c:pt>
                <c:pt idx="1">
                  <c:v>33</c:v>
                </c:pt>
                <c:pt idx="2">
                  <c:v>38</c:v>
                </c:pt>
              </c:numCache>
            </c:numRef>
          </c:val>
        </c:ser>
        <c:ser>
          <c:idx val="4"/>
          <c:order val="3"/>
          <c:tx>
            <c:strRef>
              <c:f>Hoja1!$H$251</c:f>
              <c:strCache>
                <c:ptCount val="1"/>
                <c:pt idx="0">
                  <c:v>Always</c:v>
                </c:pt>
              </c:strCache>
            </c:strRef>
          </c:tx>
          <c:dLbls>
            <c:txPr>
              <a:bodyPr/>
              <a:lstStyle/>
              <a:p>
                <a:pPr>
                  <a:defRPr lang="en-GB"/>
                </a:pPr>
                <a:endParaRPr lang="en-US"/>
              </a:p>
            </c:txPr>
            <c:dLblPos val="ctr"/>
            <c:showVal val="1"/>
          </c:dLbls>
          <c:cat>
            <c:strRef>
              <c:f>Hoja1!$I$246:$K$246</c:f>
              <c:strCache>
                <c:ptCount val="3"/>
                <c:pt idx="0">
                  <c:v>Kenya</c:v>
                </c:pt>
                <c:pt idx="1">
                  <c:v>Nigeria</c:v>
                </c:pt>
                <c:pt idx="2">
                  <c:v>South Africa</c:v>
                </c:pt>
              </c:strCache>
            </c:strRef>
          </c:cat>
          <c:val>
            <c:numRef>
              <c:f>Hoja1!$I$251:$K$251</c:f>
              <c:numCache>
                <c:formatCode>General</c:formatCode>
                <c:ptCount val="3"/>
                <c:pt idx="0">
                  <c:v>39</c:v>
                </c:pt>
                <c:pt idx="1">
                  <c:v>35</c:v>
                </c:pt>
                <c:pt idx="2">
                  <c:v>18</c:v>
                </c:pt>
              </c:numCache>
            </c:numRef>
          </c:val>
        </c:ser>
        <c:ser>
          <c:idx val="5"/>
          <c:order val="4"/>
          <c:tx>
            <c:strRef>
              <c:f>Hoja1!$H$252</c:f>
              <c:strCache>
                <c:ptCount val="1"/>
                <c:pt idx="0">
                  <c:v>Don't know</c:v>
                </c:pt>
              </c:strCache>
            </c:strRef>
          </c:tx>
          <c:dLbls>
            <c:txPr>
              <a:bodyPr/>
              <a:lstStyle/>
              <a:p>
                <a:pPr>
                  <a:defRPr lang="en-GB"/>
                </a:pPr>
                <a:endParaRPr lang="en-US"/>
              </a:p>
            </c:txPr>
            <c:dLblPos val="ctr"/>
            <c:showVal val="1"/>
          </c:dLbls>
          <c:cat>
            <c:strRef>
              <c:f>Hoja1!$I$246:$K$246</c:f>
              <c:strCache>
                <c:ptCount val="3"/>
                <c:pt idx="0">
                  <c:v>Kenya</c:v>
                </c:pt>
                <c:pt idx="1">
                  <c:v>Nigeria</c:v>
                </c:pt>
                <c:pt idx="2">
                  <c:v>South Africa</c:v>
                </c:pt>
              </c:strCache>
            </c:strRef>
          </c:cat>
          <c:val>
            <c:numRef>
              <c:f>Hoja1!$I$252:$K$252</c:f>
              <c:numCache>
                <c:formatCode>General</c:formatCode>
                <c:ptCount val="3"/>
                <c:pt idx="0">
                  <c:v>4</c:v>
                </c:pt>
                <c:pt idx="1">
                  <c:v>2</c:v>
                </c:pt>
                <c:pt idx="2">
                  <c:v>2</c:v>
                </c:pt>
              </c:numCache>
            </c:numRef>
          </c:val>
        </c:ser>
        <c:dLbls>
          <c:showVal val="1"/>
        </c:dLbls>
        <c:axId val="60476032"/>
        <c:axId val="60481920"/>
      </c:barChart>
      <c:catAx>
        <c:axId val="60476032"/>
        <c:scaling>
          <c:orientation val="minMax"/>
        </c:scaling>
        <c:axPos val="b"/>
        <c:tickLblPos val="nextTo"/>
        <c:txPr>
          <a:bodyPr/>
          <a:lstStyle/>
          <a:p>
            <a:pPr>
              <a:defRPr lang="en-GB"/>
            </a:pPr>
            <a:endParaRPr lang="en-US"/>
          </a:p>
        </c:txPr>
        <c:crossAx val="60481920"/>
        <c:crosses val="autoZero"/>
        <c:auto val="1"/>
        <c:lblAlgn val="ctr"/>
        <c:lblOffset val="100"/>
      </c:catAx>
      <c:valAx>
        <c:axId val="60481920"/>
        <c:scaling>
          <c:orientation val="minMax"/>
        </c:scaling>
        <c:axPos val="l"/>
        <c:majorGridlines/>
        <c:numFmt formatCode="General" sourceLinked="1"/>
        <c:tickLblPos val="nextTo"/>
        <c:txPr>
          <a:bodyPr/>
          <a:lstStyle/>
          <a:p>
            <a:pPr>
              <a:defRPr lang="en-GB"/>
            </a:pPr>
            <a:endParaRPr lang="en-US"/>
          </a:p>
        </c:txPr>
        <c:crossAx val="60476032"/>
        <c:crosses val="autoZero"/>
        <c:crossBetween val="between"/>
      </c:valAx>
    </c:plotArea>
    <c:legend>
      <c:legendPos val="r"/>
      <c:txPr>
        <a:bodyPr/>
        <a:lstStyle/>
        <a:p>
          <a:pPr>
            <a:defRPr lang="en-GB"/>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a:pPr>
            <a:r>
              <a:rPr lang="en-GB" sz="1800" b="1" i="0" u="none" strike="noStrike" baseline="0"/>
              <a:t>Traditional leaders influence governing local community </a:t>
            </a:r>
            <a:endParaRPr lang="en-GB"/>
          </a:p>
        </c:rich>
      </c:tx>
    </c:title>
    <c:plotArea>
      <c:layout/>
      <c:barChart>
        <c:barDir val="col"/>
        <c:grouping val="clustered"/>
        <c:ser>
          <c:idx val="0"/>
          <c:order val="0"/>
          <c:tx>
            <c:strRef>
              <c:f>Hoja1!$G$45</c:f>
              <c:strCache>
                <c:ptCount val="1"/>
                <c:pt idx="0">
                  <c:v>None</c:v>
                </c:pt>
              </c:strCache>
            </c:strRef>
          </c:tx>
          <c:dLbls>
            <c:txPr>
              <a:bodyPr/>
              <a:lstStyle/>
              <a:p>
                <a:pPr>
                  <a:defRPr lang="en-GB"/>
                </a:pPr>
                <a:endParaRPr lang="en-US"/>
              </a:p>
            </c:txPr>
            <c:dLblPos val="inBase"/>
            <c:showVal val="1"/>
          </c:dLbls>
          <c:cat>
            <c:strRef>
              <c:f>Hoja1!$H$44:$J$44</c:f>
              <c:strCache>
                <c:ptCount val="3"/>
                <c:pt idx="0">
                  <c:v>Kenya</c:v>
                </c:pt>
                <c:pt idx="1">
                  <c:v>Nigeria</c:v>
                </c:pt>
                <c:pt idx="2">
                  <c:v>South Africa</c:v>
                </c:pt>
              </c:strCache>
            </c:strRef>
          </c:cat>
          <c:val>
            <c:numRef>
              <c:f>Hoja1!$H$45:$J$45</c:f>
              <c:numCache>
                <c:formatCode>General</c:formatCode>
                <c:ptCount val="3"/>
                <c:pt idx="0">
                  <c:v>12.9</c:v>
                </c:pt>
                <c:pt idx="1">
                  <c:v>8.8000000000000007</c:v>
                </c:pt>
                <c:pt idx="2">
                  <c:v>25.9</c:v>
                </c:pt>
              </c:numCache>
            </c:numRef>
          </c:val>
        </c:ser>
        <c:ser>
          <c:idx val="1"/>
          <c:order val="1"/>
          <c:tx>
            <c:strRef>
              <c:f>Hoja1!$G$46</c:f>
              <c:strCache>
                <c:ptCount val="1"/>
                <c:pt idx="0">
                  <c:v>A small amount</c:v>
                </c:pt>
              </c:strCache>
            </c:strRef>
          </c:tx>
          <c:dLbls>
            <c:txPr>
              <a:bodyPr/>
              <a:lstStyle/>
              <a:p>
                <a:pPr>
                  <a:defRPr lang="en-GB"/>
                </a:pPr>
                <a:endParaRPr lang="en-US"/>
              </a:p>
            </c:txPr>
            <c:dLblPos val="ctr"/>
            <c:showVal val="1"/>
          </c:dLbls>
          <c:cat>
            <c:strRef>
              <c:f>Hoja1!$H$44:$J$44</c:f>
              <c:strCache>
                <c:ptCount val="3"/>
                <c:pt idx="0">
                  <c:v>Kenya</c:v>
                </c:pt>
                <c:pt idx="1">
                  <c:v>Nigeria</c:v>
                </c:pt>
                <c:pt idx="2">
                  <c:v>South Africa</c:v>
                </c:pt>
              </c:strCache>
            </c:strRef>
          </c:cat>
          <c:val>
            <c:numRef>
              <c:f>Hoja1!$H$46:$J$46</c:f>
              <c:numCache>
                <c:formatCode>General</c:formatCode>
                <c:ptCount val="3"/>
                <c:pt idx="0">
                  <c:v>30.6</c:v>
                </c:pt>
                <c:pt idx="1">
                  <c:v>30.8</c:v>
                </c:pt>
                <c:pt idx="2">
                  <c:v>22.1</c:v>
                </c:pt>
              </c:numCache>
            </c:numRef>
          </c:val>
        </c:ser>
        <c:ser>
          <c:idx val="2"/>
          <c:order val="2"/>
          <c:tx>
            <c:strRef>
              <c:f>Hoja1!$G$47</c:f>
              <c:strCache>
                <c:ptCount val="1"/>
                <c:pt idx="0">
                  <c:v>Some</c:v>
                </c:pt>
              </c:strCache>
            </c:strRef>
          </c:tx>
          <c:dLbls>
            <c:txPr>
              <a:bodyPr/>
              <a:lstStyle/>
              <a:p>
                <a:pPr>
                  <a:defRPr lang="en-GB"/>
                </a:pPr>
                <a:endParaRPr lang="en-US"/>
              </a:p>
            </c:txPr>
            <c:dLblPos val="inEnd"/>
            <c:showVal val="1"/>
          </c:dLbls>
          <c:cat>
            <c:strRef>
              <c:f>Hoja1!$H$44:$J$44</c:f>
              <c:strCache>
                <c:ptCount val="3"/>
                <c:pt idx="0">
                  <c:v>Kenya</c:v>
                </c:pt>
                <c:pt idx="1">
                  <c:v>Nigeria</c:v>
                </c:pt>
                <c:pt idx="2">
                  <c:v>South Africa</c:v>
                </c:pt>
              </c:strCache>
            </c:strRef>
          </c:cat>
          <c:val>
            <c:numRef>
              <c:f>Hoja1!$H$47:$J$47</c:f>
              <c:numCache>
                <c:formatCode>General</c:formatCode>
                <c:ptCount val="3"/>
                <c:pt idx="0">
                  <c:v>28</c:v>
                </c:pt>
                <c:pt idx="1">
                  <c:v>31.3</c:v>
                </c:pt>
                <c:pt idx="2">
                  <c:v>22.2</c:v>
                </c:pt>
              </c:numCache>
            </c:numRef>
          </c:val>
        </c:ser>
        <c:ser>
          <c:idx val="3"/>
          <c:order val="3"/>
          <c:tx>
            <c:strRef>
              <c:f>Hoja1!$G$48</c:f>
              <c:strCache>
                <c:ptCount val="1"/>
                <c:pt idx="0">
                  <c:v>A great deal</c:v>
                </c:pt>
              </c:strCache>
            </c:strRef>
          </c:tx>
          <c:dLbls>
            <c:txPr>
              <a:bodyPr/>
              <a:lstStyle/>
              <a:p>
                <a:pPr>
                  <a:defRPr lang="en-GB"/>
                </a:pPr>
                <a:endParaRPr lang="en-US"/>
              </a:p>
            </c:txPr>
            <c:dLblPos val="ctr"/>
            <c:showVal val="1"/>
          </c:dLbls>
          <c:cat>
            <c:strRef>
              <c:f>Hoja1!$H$44:$J$44</c:f>
              <c:strCache>
                <c:ptCount val="3"/>
                <c:pt idx="0">
                  <c:v>Kenya</c:v>
                </c:pt>
                <c:pt idx="1">
                  <c:v>Nigeria</c:v>
                </c:pt>
                <c:pt idx="2">
                  <c:v>South Africa</c:v>
                </c:pt>
              </c:strCache>
            </c:strRef>
          </c:cat>
          <c:val>
            <c:numRef>
              <c:f>Hoja1!$H$48:$J$48</c:f>
              <c:numCache>
                <c:formatCode>General</c:formatCode>
                <c:ptCount val="3"/>
                <c:pt idx="0">
                  <c:v>18.100000000000001</c:v>
                </c:pt>
                <c:pt idx="1">
                  <c:v>19</c:v>
                </c:pt>
                <c:pt idx="2">
                  <c:v>9.8000000000000007</c:v>
                </c:pt>
              </c:numCache>
            </c:numRef>
          </c:val>
        </c:ser>
        <c:ser>
          <c:idx val="4"/>
          <c:order val="4"/>
          <c:tx>
            <c:strRef>
              <c:f>Hoja1!$G$49</c:f>
              <c:strCache>
                <c:ptCount val="1"/>
                <c:pt idx="0">
                  <c:v>Don't know</c:v>
                </c:pt>
              </c:strCache>
            </c:strRef>
          </c:tx>
          <c:dLbls>
            <c:txPr>
              <a:bodyPr/>
              <a:lstStyle/>
              <a:p>
                <a:pPr>
                  <a:defRPr lang="en-GB"/>
                </a:pPr>
                <a:endParaRPr lang="en-US"/>
              </a:p>
            </c:txPr>
            <c:dLblPos val="ctr"/>
            <c:showVal val="1"/>
          </c:dLbls>
          <c:cat>
            <c:strRef>
              <c:f>Hoja1!$H$44:$J$44</c:f>
              <c:strCache>
                <c:ptCount val="3"/>
                <c:pt idx="0">
                  <c:v>Kenya</c:v>
                </c:pt>
                <c:pt idx="1">
                  <c:v>Nigeria</c:v>
                </c:pt>
                <c:pt idx="2">
                  <c:v>South Africa</c:v>
                </c:pt>
              </c:strCache>
            </c:strRef>
          </c:cat>
          <c:val>
            <c:numRef>
              <c:f>Hoja1!$H$49:$J$49</c:f>
              <c:numCache>
                <c:formatCode>General</c:formatCode>
                <c:ptCount val="3"/>
                <c:pt idx="0">
                  <c:v>10.4</c:v>
                </c:pt>
                <c:pt idx="1">
                  <c:v>10.1</c:v>
                </c:pt>
                <c:pt idx="2">
                  <c:v>20</c:v>
                </c:pt>
              </c:numCache>
            </c:numRef>
          </c:val>
        </c:ser>
        <c:dLbls>
          <c:showVal val="1"/>
        </c:dLbls>
        <c:axId val="60961920"/>
        <c:axId val="60963456"/>
      </c:barChart>
      <c:catAx>
        <c:axId val="60961920"/>
        <c:scaling>
          <c:orientation val="minMax"/>
        </c:scaling>
        <c:axPos val="b"/>
        <c:tickLblPos val="nextTo"/>
        <c:txPr>
          <a:bodyPr/>
          <a:lstStyle/>
          <a:p>
            <a:pPr>
              <a:defRPr lang="en-GB"/>
            </a:pPr>
            <a:endParaRPr lang="en-US"/>
          </a:p>
        </c:txPr>
        <c:crossAx val="60963456"/>
        <c:crosses val="autoZero"/>
        <c:auto val="1"/>
        <c:lblAlgn val="ctr"/>
        <c:lblOffset val="100"/>
      </c:catAx>
      <c:valAx>
        <c:axId val="60963456"/>
        <c:scaling>
          <c:orientation val="minMax"/>
        </c:scaling>
        <c:axPos val="l"/>
        <c:majorGridlines/>
        <c:numFmt formatCode="General" sourceLinked="1"/>
        <c:tickLblPos val="nextTo"/>
        <c:txPr>
          <a:bodyPr/>
          <a:lstStyle/>
          <a:p>
            <a:pPr>
              <a:defRPr lang="en-GB"/>
            </a:pPr>
            <a:endParaRPr lang="en-US"/>
          </a:p>
        </c:txPr>
        <c:crossAx val="60961920"/>
        <c:crosses val="autoZero"/>
        <c:crossBetween val="between"/>
      </c:valAx>
    </c:plotArea>
    <c:legend>
      <c:legendPos val="r"/>
      <c:txPr>
        <a:bodyPr/>
        <a:lstStyle/>
        <a:p>
          <a:pPr>
            <a:defRPr lang="en-GB"/>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a:pPr>
            <a:r>
              <a:rPr lang="en-GB" sz="1800" b="1" i="0" u="none" strike="noStrike" baseline="0"/>
              <a:t>Influence of civic organizations and NGOs </a:t>
            </a:r>
            <a:endParaRPr lang="en-GB"/>
          </a:p>
        </c:rich>
      </c:tx>
    </c:title>
    <c:plotArea>
      <c:layout>
        <c:manualLayout>
          <c:layoutTarget val="inner"/>
          <c:xMode val="edge"/>
          <c:yMode val="edge"/>
          <c:x val="5.6094863142107293E-2"/>
          <c:y val="0.13936351706036745"/>
          <c:w val="0.69478286805058465"/>
          <c:h val="0.74465660542432532"/>
        </c:manualLayout>
      </c:layout>
      <c:barChart>
        <c:barDir val="col"/>
        <c:grouping val="clustered"/>
        <c:ser>
          <c:idx val="1"/>
          <c:order val="0"/>
          <c:tx>
            <c:strRef>
              <c:f>Hoja1!$H$170</c:f>
              <c:strCache>
                <c:ptCount val="1"/>
                <c:pt idx="0">
                  <c:v>Far too little</c:v>
                </c:pt>
              </c:strCache>
            </c:strRef>
          </c:tx>
          <c:dLbls>
            <c:txPr>
              <a:bodyPr/>
              <a:lstStyle/>
              <a:p>
                <a:pPr>
                  <a:defRPr lang="en-GB"/>
                </a:pPr>
                <a:endParaRPr lang="en-US"/>
              </a:p>
            </c:txPr>
            <c:dLblPos val="ctr"/>
            <c:showVal val="1"/>
          </c:dLbls>
          <c:cat>
            <c:strRef>
              <c:f>Hoja1!$I$168:$K$168</c:f>
              <c:strCache>
                <c:ptCount val="3"/>
                <c:pt idx="0">
                  <c:v>Kenya</c:v>
                </c:pt>
                <c:pt idx="1">
                  <c:v>Nigeria</c:v>
                </c:pt>
                <c:pt idx="2">
                  <c:v>South Africa</c:v>
                </c:pt>
              </c:strCache>
            </c:strRef>
          </c:cat>
          <c:val>
            <c:numRef>
              <c:f>Hoja1!$I$170:$K$170</c:f>
              <c:numCache>
                <c:formatCode>General</c:formatCode>
                <c:ptCount val="3"/>
                <c:pt idx="0">
                  <c:v>8</c:v>
                </c:pt>
                <c:pt idx="1">
                  <c:v>10</c:v>
                </c:pt>
                <c:pt idx="2">
                  <c:v>13</c:v>
                </c:pt>
              </c:numCache>
            </c:numRef>
          </c:val>
        </c:ser>
        <c:ser>
          <c:idx val="2"/>
          <c:order val="1"/>
          <c:tx>
            <c:strRef>
              <c:f>Hoja1!$H$171</c:f>
              <c:strCache>
                <c:ptCount val="1"/>
                <c:pt idx="0">
                  <c:v>Somewhat too little</c:v>
                </c:pt>
              </c:strCache>
            </c:strRef>
          </c:tx>
          <c:dLbls>
            <c:txPr>
              <a:bodyPr/>
              <a:lstStyle/>
              <a:p>
                <a:pPr>
                  <a:defRPr lang="en-GB"/>
                </a:pPr>
                <a:endParaRPr lang="en-US"/>
              </a:p>
            </c:txPr>
            <c:dLblPos val="ctr"/>
            <c:showVal val="1"/>
          </c:dLbls>
          <c:cat>
            <c:strRef>
              <c:f>Hoja1!$I$168:$K$168</c:f>
              <c:strCache>
                <c:ptCount val="3"/>
                <c:pt idx="0">
                  <c:v>Kenya</c:v>
                </c:pt>
                <c:pt idx="1">
                  <c:v>Nigeria</c:v>
                </c:pt>
                <c:pt idx="2">
                  <c:v>South Africa</c:v>
                </c:pt>
              </c:strCache>
            </c:strRef>
          </c:cat>
          <c:val>
            <c:numRef>
              <c:f>Hoja1!$I$171:$K$171</c:f>
              <c:numCache>
                <c:formatCode>General</c:formatCode>
                <c:ptCount val="3"/>
                <c:pt idx="0">
                  <c:v>16</c:v>
                </c:pt>
                <c:pt idx="1">
                  <c:v>20</c:v>
                </c:pt>
                <c:pt idx="2">
                  <c:v>16</c:v>
                </c:pt>
              </c:numCache>
            </c:numRef>
          </c:val>
        </c:ser>
        <c:ser>
          <c:idx val="3"/>
          <c:order val="2"/>
          <c:tx>
            <c:strRef>
              <c:f>Hoja1!$H$172</c:f>
              <c:strCache>
                <c:ptCount val="1"/>
                <c:pt idx="0">
                  <c:v>About the right amount</c:v>
                </c:pt>
              </c:strCache>
            </c:strRef>
          </c:tx>
          <c:dLbls>
            <c:txPr>
              <a:bodyPr/>
              <a:lstStyle/>
              <a:p>
                <a:pPr>
                  <a:defRPr lang="en-GB"/>
                </a:pPr>
                <a:endParaRPr lang="en-US"/>
              </a:p>
            </c:txPr>
            <c:dLblPos val="ctr"/>
            <c:showVal val="1"/>
          </c:dLbls>
          <c:cat>
            <c:strRef>
              <c:f>Hoja1!$I$168:$K$168</c:f>
              <c:strCache>
                <c:ptCount val="3"/>
                <c:pt idx="0">
                  <c:v>Kenya</c:v>
                </c:pt>
                <c:pt idx="1">
                  <c:v>Nigeria</c:v>
                </c:pt>
                <c:pt idx="2">
                  <c:v>South Africa</c:v>
                </c:pt>
              </c:strCache>
            </c:strRef>
          </c:cat>
          <c:val>
            <c:numRef>
              <c:f>Hoja1!$I$172:$K$172</c:f>
              <c:numCache>
                <c:formatCode>General</c:formatCode>
                <c:ptCount val="3"/>
                <c:pt idx="0">
                  <c:v>26</c:v>
                </c:pt>
                <c:pt idx="1">
                  <c:v>24</c:v>
                </c:pt>
                <c:pt idx="2">
                  <c:v>20</c:v>
                </c:pt>
              </c:numCache>
            </c:numRef>
          </c:val>
        </c:ser>
        <c:ser>
          <c:idx val="4"/>
          <c:order val="3"/>
          <c:tx>
            <c:strRef>
              <c:f>Hoja1!$H$173</c:f>
              <c:strCache>
                <c:ptCount val="1"/>
                <c:pt idx="0">
                  <c:v>Somewhat too much</c:v>
                </c:pt>
              </c:strCache>
            </c:strRef>
          </c:tx>
          <c:dLbls>
            <c:txPr>
              <a:bodyPr/>
              <a:lstStyle/>
              <a:p>
                <a:pPr>
                  <a:defRPr lang="en-GB"/>
                </a:pPr>
                <a:endParaRPr lang="en-US"/>
              </a:p>
            </c:txPr>
            <c:dLblPos val="ctr"/>
            <c:showVal val="1"/>
          </c:dLbls>
          <c:cat>
            <c:strRef>
              <c:f>Hoja1!$I$168:$K$168</c:f>
              <c:strCache>
                <c:ptCount val="3"/>
                <c:pt idx="0">
                  <c:v>Kenya</c:v>
                </c:pt>
                <c:pt idx="1">
                  <c:v>Nigeria</c:v>
                </c:pt>
                <c:pt idx="2">
                  <c:v>South Africa</c:v>
                </c:pt>
              </c:strCache>
            </c:strRef>
          </c:cat>
          <c:val>
            <c:numRef>
              <c:f>Hoja1!$I$173:$K$173</c:f>
              <c:numCache>
                <c:formatCode>General</c:formatCode>
                <c:ptCount val="3"/>
                <c:pt idx="0">
                  <c:v>14</c:v>
                </c:pt>
                <c:pt idx="1">
                  <c:v>12</c:v>
                </c:pt>
                <c:pt idx="2">
                  <c:v>13</c:v>
                </c:pt>
              </c:numCache>
            </c:numRef>
          </c:val>
        </c:ser>
        <c:ser>
          <c:idx val="5"/>
          <c:order val="4"/>
          <c:tx>
            <c:strRef>
              <c:f>Hoja1!$H$174</c:f>
              <c:strCache>
                <c:ptCount val="1"/>
                <c:pt idx="0">
                  <c:v>Far too much</c:v>
                </c:pt>
              </c:strCache>
            </c:strRef>
          </c:tx>
          <c:dLbls>
            <c:txPr>
              <a:bodyPr/>
              <a:lstStyle/>
              <a:p>
                <a:pPr>
                  <a:defRPr lang="en-GB"/>
                </a:pPr>
                <a:endParaRPr lang="en-US"/>
              </a:p>
            </c:txPr>
            <c:dLblPos val="ctr"/>
            <c:showVal val="1"/>
          </c:dLbls>
          <c:cat>
            <c:strRef>
              <c:f>Hoja1!$I$168:$K$168</c:f>
              <c:strCache>
                <c:ptCount val="3"/>
                <c:pt idx="0">
                  <c:v>Kenya</c:v>
                </c:pt>
                <c:pt idx="1">
                  <c:v>Nigeria</c:v>
                </c:pt>
                <c:pt idx="2">
                  <c:v>South Africa</c:v>
                </c:pt>
              </c:strCache>
            </c:strRef>
          </c:cat>
          <c:val>
            <c:numRef>
              <c:f>Hoja1!$I$174:$K$174</c:f>
              <c:numCache>
                <c:formatCode>General</c:formatCode>
                <c:ptCount val="3"/>
                <c:pt idx="0">
                  <c:v>8</c:v>
                </c:pt>
                <c:pt idx="1">
                  <c:v>3</c:v>
                </c:pt>
                <c:pt idx="2">
                  <c:v>7</c:v>
                </c:pt>
              </c:numCache>
            </c:numRef>
          </c:val>
        </c:ser>
        <c:ser>
          <c:idx val="6"/>
          <c:order val="5"/>
          <c:tx>
            <c:strRef>
              <c:f>Hoja1!$H$175</c:f>
              <c:strCache>
                <c:ptCount val="1"/>
                <c:pt idx="0">
                  <c:v>Don't know</c:v>
                </c:pt>
              </c:strCache>
            </c:strRef>
          </c:tx>
          <c:dLbls>
            <c:txPr>
              <a:bodyPr/>
              <a:lstStyle/>
              <a:p>
                <a:pPr>
                  <a:defRPr lang="en-GB"/>
                </a:pPr>
                <a:endParaRPr lang="en-US"/>
              </a:p>
            </c:txPr>
            <c:dLblPos val="ctr"/>
            <c:showVal val="1"/>
          </c:dLbls>
          <c:cat>
            <c:strRef>
              <c:f>Hoja1!$I$168:$K$168</c:f>
              <c:strCache>
                <c:ptCount val="3"/>
                <c:pt idx="0">
                  <c:v>Kenya</c:v>
                </c:pt>
                <c:pt idx="1">
                  <c:v>Nigeria</c:v>
                </c:pt>
                <c:pt idx="2">
                  <c:v>South Africa</c:v>
                </c:pt>
              </c:strCache>
            </c:strRef>
          </c:cat>
          <c:val>
            <c:numRef>
              <c:f>Hoja1!$I$175:$K$175</c:f>
              <c:numCache>
                <c:formatCode>General</c:formatCode>
                <c:ptCount val="3"/>
                <c:pt idx="0">
                  <c:v>26</c:v>
                </c:pt>
                <c:pt idx="1">
                  <c:v>32</c:v>
                </c:pt>
                <c:pt idx="2">
                  <c:v>31</c:v>
                </c:pt>
              </c:numCache>
            </c:numRef>
          </c:val>
        </c:ser>
        <c:dLbls>
          <c:showVal val="1"/>
        </c:dLbls>
        <c:axId val="65495808"/>
        <c:axId val="65497344"/>
      </c:barChart>
      <c:catAx>
        <c:axId val="65495808"/>
        <c:scaling>
          <c:orientation val="minMax"/>
        </c:scaling>
        <c:axPos val="b"/>
        <c:tickLblPos val="nextTo"/>
        <c:txPr>
          <a:bodyPr/>
          <a:lstStyle/>
          <a:p>
            <a:pPr>
              <a:defRPr lang="en-GB"/>
            </a:pPr>
            <a:endParaRPr lang="en-US"/>
          </a:p>
        </c:txPr>
        <c:crossAx val="65497344"/>
        <c:crosses val="autoZero"/>
        <c:auto val="1"/>
        <c:lblAlgn val="ctr"/>
        <c:lblOffset val="100"/>
      </c:catAx>
      <c:valAx>
        <c:axId val="65497344"/>
        <c:scaling>
          <c:orientation val="minMax"/>
        </c:scaling>
        <c:axPos val="l"/>
        <c:majorGridlines/>
        <c:numFmt formatCode="General" sourceLinked="1"/>
        <c:tickLblPos val="nextTo"/>
        <c:txPr>
          <a:bodyPr/>
          <a:lstStyle/>
          <a:p>
            <a:pPr>
              <a:defRPr lang="en-GB"/>
            </a:pPr>
            <a:endParaRPr lang="en-US"/>
          </a:p>
        </c:txPr>
        <c:crossAx val="65495808"/>
        <c:crosses val="autoZero"/>
        <c:crossBetween val="between"/>
      </c:valAx>
    </c:plotArea>
    <c:legend>
      <c:legendPos val="r"/>
      <c:layout>
        <c:manualLayout>
          <c:xMode val="edge"/>
          <c:yMode val="edge"/>
          <c:x val="0.75304223335720044"/>
          <c:y val="0.15047462817147891"/>
          <c:w val="0.23397075365579303"/>
          <c:h val="0.76849518810148765"/>
        </c:manualLayout>
      </c:layout>
      <c:txPr>
        <a:bodyPr/>
        <a:lstStyle/>
        <a:p>
          <a:pPr>
            <a:defRPr lang="en-GB"/>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a:pPr>
            <a:r>
              <a:rPr lang="en-GB" sz="1800" b="1" i="0" u="none" strike="noStrike" baseline="0"/>
              <a:t>Influence of international businesses and investors </a:t>
            </a:r>
            <a:endParaRPr lang="en-GB"/>
          </a:p>
        </c:rich>
      </c:tx>
    </c:title>
    <c:plotArea>
      <c:layout/>
      <c:barChart>
        <c:barDir val="col"/>
        <c:grouping val="clustered"/>
        <c:ser>
          <c:idx val="1"/>
          <c:order val="0"/>
          <c:tx>
            <c:strRef>
              <c:f>Hoja1!$H$166</c:f>
              <c:strCache>
                <c:ptCount val="1"/>
                <c:pt idx="0">
                  <c:v>Far too little</c:v>
                </c:pt>
              </c:strCache>
            </c:strRef>
          </c:tx>
          <c:dLbls>
            <c:txPr>
              <a:bodyPr/>
              <a:lstStyle/>
              <a:p>
                <a:pPr>
                  <a:defRPr lang="en-GB"/>
                </a:pPr>
                <a:endParaRPr lang="en-US"/>
              </a:p>
            </c:txPr>
            <c:dLblPos val="ctr"/>
            <c:showVal val="1"/>
          </c:dLbls>
          <c:cat>
            <c:strRef>
              <c:f>Hoja1!$I$164:$K$164</c:f>
              <c:strCache>
                <c:ptCount val="3"/>
                <c:pt idx="0">
                  <c:v>Kenya</c:v>
                </c:pt>
                <c:pt idx="1">
                  <c:v>Nigeria</c:v>
                </c:pt>
                <c:pt idx="2">
                  <c:v>South Africa</c:v>
                </c:pt>
              </c:strCache>
            </c:strRef>
          </c:cat>
          <c:val>
            <c:numRef>
              <c:f>Hoja1!$I$166:$K$166</c:f>
              <c:numCache>
                <c:formatCode>General</c:formatCode>
                <c:ptCount val="3"/>
                <c:pt idx="0">
                  <c:v>8</c:v>
                </c:pt>
                <c:pt idx="1">
                  <c:v>8</c:v>
                </c:pt>
                <c:pt idx="2">
                  <c:v>12</c:v>
                </c:pt>
              </c:numCache>
            </c:numRef>
          </c:val>
        </c:ser>
        <c:ser>
          <c:idx val="2"/>
          <c:order val="1"/>
          <c:tx>
            <c:strRef>
              <c:f>Hoja1!$H$167</c:f>
              <c:strCache>
                <c:ptCount val="1"/>
                <c:pt idx="0">
                  <c:v>Somewhat too little</c:v>
                </c:pt>
              </c:strCache>
            </c:strRef>
          </c:tx>
          <c:dLbls>
            <c:txPr>
              <a:bodyPr/>
              <a:lstStyle/>
              <a:p>
                <a:pPr>
                  <a:defRPr lang="en-GB"/>
                </a:pPr>
                <a:endParaRPr lang="en-US"/>
              </a:p>
            </c:txPr>
            <c:dLblPos val="ctr"/>
            <c:showVal val="1"/>
          </c:dLbls>
          <c:cat>
            <c:strRef>
              <c:f>Hoja1!$I$164:$K$164</c:f>
              <c:strCache>
                <c:ptCount val="3"/>
                <c:pt idx="0">
                  <c:v>Kenya</c:v>
                </c:pt>
                <c:pt idx="1">
                  <c:v>Nigeria</c:v>
                </c:pt>
                <c:pt idx="2">
                  <c:v>South Africa</c:v>
                </c:pt>
              </c:strCache>
            </c:strRef>
          </c:cat>
          <c:val>
            <c:numRef>
              <c:f>Hoja1!$I$167:$K$167</c:f>
              <c:numCache>
                <c:formatCode>General</c:formatCode>
                <c:ptCount val="3"/>
                <c:pt idx="0">
                  <c:v>17</c:v>
                </c:pt>
                <c:pt idx="1">
                  <c:v>21</c:v>
                </c:pt>
                <c:pt idx="2">
                  <c:v>15</c:v>
                </c:pt>
              </c:numCache>
            </c:numRef>
          </c:val>
        </c:ser>
        <c:ser>
          <c:idx val="3"/>
          <c:order val="2"/>
          <c:tx>
            <c:strRef>
              <c:f>Hoja1!$H$168</c:f>
              <c:strCache>
                <c:ptCount val="1"/>
                <c:pt idx="0">
                  <c:v>About the right amount</c:v>
                </c:pt>
              </c:strCache>
            </c:strRef>
          </c:tx>
          <c:dLbls>
            <c:txPr>
              <a:bodyPr/>
              <a:lstStyle/>
              <a:p>
                <a:pPr>
                  <a:defRPr lang="en-GB"/>
                </a:pPr>
                <a:endParaRPr lang="en-US"/>
              </a:p>
            </c:txPr>
            <c:dLblPos val="ctr"/>
            <c:showVal val="1"/>
          </c:dLbls>
          <c:cat>
            <c:strRef>
              <c:f>Hoja1!$I$164:$K$164</c:f>
              <c:strCache>
                <c:ptCount val="3"/>
                <c:pt idx="0">
                  <c:v>Kenya</c:v>
                </c:pt>
                <c:pt idx="1">
                  <c:v>Nigeria</c:v>
                </c:pt>
                <c:pt idx="2">
                  <c:v>South Africa</c:v>
                </c:pt>
              </c:strCache>
            </c:strRef>
          </c:cat>
          <c:val>
            <c:numRef>
              <c:f>Hoja1!$I$168:$K$168</c:f>
              <c:numCache>
                <c:formatCode>General</c:formatCode>
                <c:ptCount val="3"/>
                <c:pt idx="0">
                  <c:v>25</c:v>
                </c:pt>
                <c:pt idx="1">
                  <c:v>23</c:v>
                </c:pt>
                <c:pt idx="2">
                  <c:v>23</c:v>
                </c:pt>
              </c:numCache>
            </c:numRef>
          </c:val>
        </c:ser>
        <c:ser>
          <c:idx val="4"/>
          <c:order val="3"/>
          <c:tx>
            <c:strRef>
              <c:f>Hoja1!$H$169</c:f>
              <c:strCache>
                <c:ptCount val="1"/>
                <c:pt idx="0">
                  <c:v>Somewhat too much</c:v>
                </c:pt>
              </c:strCache>
            </c:strRef>
          </c:tx>
          <c:dLbls>
            <c:txPr>
              <a:bodyPr/>
              <a:lstStyle/>
              <a:p>
                <a:pPr>
                  <a:defRPr lang="en-GB"/>
                </a:pPr>
                <a:endParaRPr lang="en-US"/>
              </a:p>
            </c:txPr>
            <c:dLblPos val="ctr"/>
            <c:showVal val="1"/>
          </c:dLbls>
          <c:cat>
            <c:strRef>
              <c:f>Hoja1!$I$164:$K$164</c:f>
              <c:strCache>
                <c:ptCount val="3"/>
                <c:pt idx="0">
                  <c:v>Kenya</c:v>
                </c:pt>
                <c:pt idx="1">
                  <c:v>Nigeria</c:v>
                </c:pt>
                <c:pt idx="2">
                  <c:v>South Africa</c:v>
                </c:pt>
              </c:strCache>
            </c:strRef>
          </c:cat>
          <c:val>
            <c:numRef>
              <c:f>Hoja1!$I$169:$K$169</c:f>
              <c:numCache>
                <c:formatCode>General</c:formatCode>
                <c:ptCount val="3"/>
                <c:pt idx="0">
                  <c:v>13</c:v>
                </c:pt>
                <c:pt idx="1">
                  <c:v>11</c:v>
                </c:pt>
                <c:pt idx="2">
                  <c:v>13</c:v>
                </c:pt>
              </c:numCache>
            </c:numRef>
          </c:val>
        </c:ser>
        <c:ser>
          <c:idx val="5"/>
          <c:order val="4"/>
          <c:tx>
            <c:strRef>
              <c:f>Hoja1!$H$170</c:f>
              <c:strCache>
                <c:ptCount val="1"/>
                <c:pt idx="0">
                  <c:v>Far too much</c:v>
                </c:pt>
              </c:strCache>
            </c:strRef>
          </c:tx>
          <c:dLbls>
            <c:txPr>
              <a:bodyPr/>
              <a:lstStyle/>
              <a:p>
                <a:pPr>
                  <a:defRPr lang="en-GB"/>
                </a:pPr>
                <a:endParaRPr lang="en-US"/>
              </a:p>
            </c:txPr>
            <c:dLblPos val="ctr"/>
            <c:showVal val="1"/>
          </c:dLbls>
          <c:cat>
            <c:strRef>
              <c:f>Hoja1!$I$164:$K$164</c:f>
              <c:strCache>
                <c:ptCount val="3"/>
                <c:pt idx="0">
                  <c:v>Kenya</c:v>
                </c:pt>
                <c:pt idx="1">
                  <c:v>Nigeria</c:v>
                </c:pt>
                <c:pt idx="2">
                  <c:v>South Africa</c:v>
                </c:pt>
              </c:strCache>
            </c:strRef>
          </c:cat>
          <c:val>
            <c:numRef>
              <c:f>Hoja1!$I$170:$K$170</c:f>
              <c:numCache>
                <c:formatCode>General</c:formatCode>
                <c:ptCount val="3"/>
                <c:pt idx="0">
                  <c:v>6</c:v>
                </c:pt>
                <c:pt idx="1">
                  <c:v>4</c:v>
                </c:pt>
                <c:pt idx="2">
                  <c:v>7</c:v>
                </c:pt>
              </c:numCache>
            </c:numRef>
          </c:val>
        </c:ser>
        <c:ser>
          <c:idx val="6"/>
          <c:order val="5"/>
          <c:tx>
            <c:strRef>
              <c:f>Hoja1!$H$171</c:f>
              <c:strCache>
                <c:ptCount val="1"/>
                <c:pt idx="0">
                  <c:v>Don't know</c:v>
                </c:pt>
              </c:strCache>
            </c:strRef>
          </c:tx>
          <c:dLbls>
            <c:txPr>
              <a:bodyPr/>
              <a:lstStyle/>
              <a:p>
                <a:pPr>
                  <a:defRPr lang="en-GB"/>
                </a:pPr>
                <a:endParaRPr lang="en-US"/>
              </a:p>
            </c:txPr>
            <c:dLblPos val="ctr"/>
            <c:showVal val="1"/>
          </c:dLbls>
          <c:cat>
            <c:strRef>
              <c:f>Hoja1!$I$164:$K$164</c:f>
              <c:strCache>
                <c:ptCount val="3"/>
                <c:pt idx="0">
                  <c:v>Kenya</c:v>
                </c:pt>
                <c:pt idx="1">
                  <c:v>Nigeria</c:v>
                </c:pt>
                <c:pt idx="2">
                  <c:v>South Africa</c:v>
                </c:pt>
              </c:strCache>
            </c:strRef>
          </c:cat>
          <c:val>
            <c:numRef>
              <c:f>Hoja1!$I$171:$K$171</c:f>
              <c:numCache>
                <c:formatCode>General</c:formatCode>
                <c:ptCount val="3"/>
                <c:pt idx="0">
                  <c:v>1</c:v>
                </c:pt>
                <c:pt idx="1">
                  <c:v>32</c:v>
                </c:pt>
                <c:pt idx="2">
                  <c:v>30</c:v>
                </c:pt>
              </c:numCache>
            </c:numRef>
          </c:val>
        </c:ser>
        <c:dLbls>
          <c:showVal val="1"/>
        </c:dLbls>
        <c:axId val="66036096"/>
        <c:axId val="66037632"/>
      </c:barChart>
      <c:catAx>
        <c:axId val="66036096"/>
        <c:scaling>
          <c:orientation val="minMax"/>
        </c:scaling>
        <c:axPos val="b"/>
        <c:tickLblPos val="nextTo"/>
        <c:txPr>
          <a:bodyPr/>
          <a:lstStyle/>
          <a:p>
            <a:pPr>
              <a:defRPr lang="en-GB"/>
            </a:pPr>
            <a:endParaRPr lang="en-US"/>
          </a:p>
        </c:txPr>
        <c:crossAx val="66037632"/>
        <c:crosses val="autoZero"/>
        <c:auto val="1"/>
        <c:lblAlgn val="ctr"/>
        <c:lblOffset val="100"/>
      </c:catAx>
      <c:valAx>
        <c:axId val="66037632"/>
        <c:scaling>
          <c:orientation val="minMax"/>
        </c:scaling>
        <c:axPos val="l"/>
        <c:majorGridlines/>
        <c:numFmt formatCode="General" sourceLinked="1"/>
        <c:tickLblPos val="nextTo"/>
        <c:txPr>
          <a:bodyPr/>
          <a:lstStyle/>
          <a:p>
            <a:pPr>
              <a:defRPr lang="en-GB"/>
            </a:pPr>
            <a:endParaRPr lang="en-US"/>
          </a:p>
        </c:txPr>
        <c:crossAx val="66036096"/>
        <c:crosses val="autoZero"/>
        <c:crossBetween val="between"/>
      </c:valAx>
    </c:plotArea>
    <c:legend>
      <c:legendPos val="r"/>
      <c:txPr>
        <a:bodyPr/>
        <a:lstStyle/>
        <a:p>
          <a:pPr>
            <a:defRPr lang="en-GB"/>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GB"/>
            </a:pPr>
            <a:r>
              <a:rPr lang="en-GB" sz="1800" b="1" i="0" u="none" strike="noStrike" baseline="0"/>
              <a:t>Influence of International donors and NGOs </a:t>
            </a:r>
            <a:endParaRPr lang="en-GB"/>
          </a:p>
        </c:rich>
      </c:tx>
    </c:title>
    <c:plotArea>
      <c:layout>
        <c:manualLayout>
          <c:layoutTarget val="inner"/>
          <c:xMode val="edge"/>
          <c:yMode val="edge"/>
          <c:x val="6.6069666721870091E-2"/>
          <c:y val="0.29653944298629326"/>
          <c:w val="0.68085314383503159"/>
          <c:h val="0.587480679498396"/>
        </c:manualLayout>
      </c:layout>
      <c:barChart>
        <c:barDir val="col"/>
        <c:grouping val="clustered"/>
        <c:ser>
          <c:idx val="1"/>
          <c:order val="0"/>
          <c:tx>
            <c:strRef>
              <c:f>Hoja1!$H$159</c:f>
              <c:strCache>
                <c:ptCount val="1"/>
                <c:pt idx="0">
                  <c:v>Far too little</c:v>
                </c:pt>
              </c:strCache>
            </c:strRef>
          </c:tx>
          <c:dLbls>
            <c:txPr>
              <a:bodyPr/>
              <a:lstStyle/>
              <a:p>
                <a:pPr>
                  <a:defRPr lang="en-GB"/>
                </a:pPr>
                <a:endParaRPr lang="en-US"/>
              </a:p>
            </c:txPr>
            <c:dLblPos val="ctr"/>
            <c:showVal val="1"/>
          </c:dLbls>
          <c:cat>
            <c:strRef>
              <c:f>Hoja1!$I$157:$K$157</c:f>
              <c:strCache>
                <c:ptCount val="3"/>
                <c:pt idx="0">
                  <c:v>Kenya</c:v>
                </c:pt>
                <c:pt idx="1">
                  <c:v>Nigeria</c:v>
                </c:pt>
                <c:pt idx="2">
                  <c:v>South Africa</c:v>
                </c:pt>
              </c:strCache>
            </c:strRef>
          </c:cat>
          <c:val>
            <c:numRef>
              <c:f>Hoja1!$I$159:$K$159</c:f>
              <c:numCache>
                <c:formatCode>General</c:formatCode>
                <c:ptCount val="3"/>
                <c:pt idx="0">
                  <c:v>7</c:v>
                </c:pt>
                <c:pt idx="1">
                  <c:v>10</c:v>
                </c:pt>
                <c:pt idx="2">
                  <c:v>11</c:v>
                </c:pt>
              </c:numCache>
            </c:numRef>
          </c:val>
        </c:ser>
        <c:ser>
          <c:idx val="2"/>
          <c:order val="1"/>
          <c:tx>
            <c:strRef>
              <c:f>Hoja1!$H$160</c:f>
              <c:strCache>
                <c:ptCount val="1"/>
                <c:pt idx="0">
                  <c:v>Somewhat too little</c:v>
                </c:pt>
              </c:strCache>
            </c:strRef>
          </c:tx>
          <c:dLbls>
            <c:txPr>
              <a:bodyPr/>
              <a:lstStyle/>
              <a:p>
                <a:pPr>
                  <a:defRPr lang="en-GB"/>
                </a:pPr>
                <a:endParaRPr lang="en-US"/>
              </a:p>
            </c:txPr>
            <c:dLblPos val="ctr"/>
            <c:showVal val="1"/>
          </c:dLbls>
          <c:cat>
            <c:strRef>
              <c:f>Hoja1!$I$157:$K$157</c:f>
              <c:strCache>
                <c:ptCount val="3"/>
                <c:pt idx="0">
                  <c:v>Kenya</c:v>
                </c:pt>
                <c:pt idx="1">
                  <c:v>Nigeria</c:v>
                </c:pt>
                <c:pt idx="2">
                  <c:v>South Africa</c:v>
                </c:pt>
              </c:strCache>
            </c:strRef>
          </c:cat>
          <c:val>
            <c:numRef>
              <c:f>Hoja1!$I$160:$K$160</c:f>
              <c:numCache>
                <c:formatCode>General</c:formatCode>
                <c:ptCount val="3"/>
                <c:pt idx="0">
                  <c:v>18</c:v>
                </c:pt>
                <c:pt idx="1">
                  <c:v>21</c:v>
                </c:pt>
                <c:pt idx="2">
                  <c:v>16</c:v>
                </c:pt>
              </c:numCache>
            </c:numRef>
          </c:val>
        </c:ser>
        <c:ser>
          <c:idx val="3"/>
          <c:order val="2"/>
          <c:tx>
            <c:strRef>
              <c:f>Hoja1!$H$161</c:f>
              <c:strCache>
                <c:ptCount val="1"/>
                <c:pt idx="0">
                  <c:v>About the right amount</c:v>
                </c:pt>
              </c:strCache>
            </c:strRef>
          </c:tx>
          <c:dLbls>
            <c:txPr>
              <a:bodyPr/>
              <a:lstStyle/>
              <a:p>
                <a:pPr>
                  <a:defRPr lang="en-GB"/>
                </a:pPr>
                <a:endParaRPr lang="en-US"/>
              </a:p>
            </c:txPr>
            <c:dLblPos val="ctr"/>
            <c:showVal val="1"/>
          </c:dLbls>
          <c:cat>
            <c:strRef>
              <c:f>Hoja1!$I$157:$K$157</c:f>
              <c:strCache>
                <c:ptCount val="3"/>
                <c:pt idx="0">
                  <c:v>Kenya</c:v>
                </c:pt>
                <c:pt idx="1">
                  <c:v>Nigeria</c:v>
                </c:pt>
                <c:pt idx="2">
                  <c:v>South Africa</c:v>
                </c:pt>
              </c:strCache>
            </c:strRef>
          </c:cat>
          <c:val>
            <c:numRef>
              <c:f>Hoja1!$I$161:$K$161</c:f>
              <c:numCache>
                <c:formatCode>General</c:formatCode>
                <c:ptCount val="3"/>
                <c:pt idx="0">
                  <c:v>25</c:v>
                </c:pt>
                <c:pt idx="1">
                  <c:v>23</c:v>
                </c:pt>
                <c:pt idx="2">
                  <c:v>22</c:v>
                </c:pt>
              </c:numCache>
            </c:numRef>
          </c:val>
        </c:ser>
        <c:ser>
          <c:idx val="4"/>
          <c:order val="3"/>
          <c:tx>
            <c:strRef>
              <c:f>Hoja1!$H$162</c:f>
              <c:strCache>
                <c:ptCount val="1"/>
                <c:pt idx="0">
                  <c:v>Somewhat too much</c:v>
                </c:pt>
              </c:strCache>
            </c:strRef>
          </c:tx>
          <c:dLbls>
            <c:txPr>
              <a:bodyPr/>
              <a:lstStyle/>
              <a:p>
                <a:pPr>
                  <a:defRPr lang="en-GB"/>
                </a:pPr>
                <a:endParaRPr lang="en-US"/>
              </a:p>
            </c:txPr>
            <c:dLblPos val="ctr"/>
            <c:showVal val="1"/>
          </c:dLbls>
          <c:cat>
            <c:strRef>
              <c:f>Hoja1!$I$157:$K$157</c:f>
              <c:strCache>
                <c:ptCount val="3"/>
                <c:pt idx="0">
                  <c:v>Kenya</c:v>
                </c:pt>
                <c:pt idx="1">
                  <c:v>Nigeria</c:v>
                </c:pt>
                <c:pt idx="2">
                  <c:v>South Africa</c:v>
                </c:pt>
              </c:strCache>
            </c:strRef>
          </c:cat>
          <c:val>
            <c:numRef>
              <c:f>Hoja1!$I$162:$K$162</c:f>
              <c:numCache>
                <c:formatCode>General</c:formatCode>
                <c:ptCount val="3"/>
                <c:pt idx="0">
                  <c:v>16</c:v>
                </c:pt>
                <c:pt idx="1">
                  <c:v>10</c:v>
                </c:pt>
                <c:pt idx="2">
                  <c:v>13</c:v>
                </c:pt>
              </c:numCache>
            </c:numRef>
          </c:val>
        </c:ser>
        <c:ser>
          <c:idx val="5"/>
          <c:order val="4"/>
          <c:tx>
            <c:strRef>
              <c:f>Hoja1!$H$163</c:f>
              <c:strCache>
                <c:ptCount val="1"/>
                <c:pt idx="0">
                  <c:v>Far too much</c:v>
                </c:pt>
              </c:strCache>
            </c:strRef>
          </c:tx>
          <c:dLbls>
            <c:txPr>
              <a:bodyPr/>
              <a:lstStyle/>
              <a:p>
                <a:pPr>
                  <a:defRPr lang="en-GB"/>
                </a:pPr>
                <a:endParaRPr lang="en-US"/>
              </a:p>
            </c:txPr>
            <c:dLblPos val="ctr"/>
            <c:showVal val="1"/>
          </c:dLbls>
          <c:cat>
            <c:strRef>
              <c:f>Hoja1!$I$157:$K$157</c:f>
              <c:strCache>
                <c:ptCount val="3"/>
                <c:pt idx="0">
                  <c:v>Kenya</c:v>
                </c:pt>
                <c:pt idx="1">
                  <c:v>Nigeria</c:v>
                </c:pt>
                <c:pt idx="2">
                  <c:v>South Africa</c:v>
                </c:pt>
              </c:strCache>
            </c:strRef>
          </c:cat>
          <c:val>
            <c:numRef>
              <c:f>Hoja1!$I$163:$K$163</c:f>
              <c:numCache>
                <c:formatCode>General</c:formatCode>
                <c:ptCount val="3"/>
                <c:pt idx="0">
                  <c:v>7</c:v>
                </c:pt>
                <c:pt idx="1">
                  <c:v>4</c:v>
                </c:pt>
                <c:pt idx="2">
                  <c:v>5</c:v>
                </c:pt>
              </c:numCache>
            </c:numRef>
          </c:val>
        </c:ser>
        <c:ser>
          <c:idx val="6"/>
          <c:order val="5"/>
          <c:tx>
            <c:strRef>
              <c:f>Hoja1!$H$164</c:f>
              <c:strCache>
                <c:ptCount val="1"/>
                <c:pt idx="0">
                  <c:v>Don't know</c:v>
                </c:pt>
              </c:strCache>
            </c:strRef>
          </c:tx>
          <c:dLbls>
            <c:txPr>
              <a:bodyPr/>
              <a:lstStyle/>
              <a:p>
                <a:pPr>
                  <a:defRPr lang="en-GB"/>
                </a:pPr>
                <a:endParaRPr lang="en-US"/>
              </a:p>
            </c:txPr>
            <c:dLblPos val="ctr"/>
            <c:showVal val="1"/>
          </c:dLbls>
          <c:cat>
            <c:strRef>
              <c:f>Hoja1!$I$157:$K$157</c:f>
              <c:strCache>
                <c:ptCount val="3"/>
                <c:pt idx="0">
                  <c:v>Kenya</c:v>
                </c:pt>
                <c:pt idx="1">
                  <c:v>Nigeria</c:v>
                </c:pt>
                <c:pt idx="2">
                  <c:v>South Africa</c:v>
                </c:pt>
              </c:strCache>
            </c:strRef>
          </c:cat>
          <c:val>
            <c:numRef>
              <c:f>Hoja1!$I$164:$K$164</c:f>
              <c:numCache>
                <c:formatCode>General</c:formatCode>
                <c:ptCount val="3"/>
                <c:pt idx="0">
                  <c:v>27</c:v>
                </c:pt>
                <c:pt idx="1">
                  <c:v>31</c:v>
                </c:pt>
                <c:pt idx="2">
                  <c:v>33</c:v>
                </c:pt>
              </c:numCache>
            </c:numRef>
          </c:val>
        </c:ser>
        <c:dLbls>
          <c:showVal val="1"/>
        </c:dLbls>
        <c:axId val="71524352"/>
        <c:axId val="71525888"/>
      </c:barChart>
      <c:catAx>
        <c:axId val="71524352"/>
        <c:scaling>
          <c:orientation val="minMax"/>
        </c:scaling>
        <c:axPos val="b"/>
        <c:tickLblPos val="nextTo"/>
        <c:txPr>
          <a:bodyPr/>
          <a:lstStyle/>
          <a:p>
            <a:pPr>
              <a:defRPr lang="en-GB"/>
            </a:pPr>
            <a:endParaRPr lang="en-US"/>
          </a:p>
        </c:txPr>
        <c:crossAx val="71525888"/>
        <c:crosses val="autoZero"/>
        <c:auto val="1"/>
        <c:lblAlgn val="ctr"/>
        <c:lblOffset val="100"/>
      </c:catAx>
      <c:valAx>
        <c:axId val="71525888"/>
        <c:scaling>
          <c:orientation val="minMax"/>
        </c:scaling>
        <c:axPos val="l"/>
        <c:majorGridlines/>
        <c:numFmt formatCode="General" sourceLinked="1"/>
        <c:tickLblPos val="nextTo"/>
        <c:txPr>
          <a:bodyPr/>
          <a:lstStyle/>
          <a:p>
            <a:pPr>
              <a:defRPr lang="en-GB"/>
            </a:pPr>
            <a:endParaRPr lang="en-US"/>
          </a:p>
        </c:txPr>
        <c:crossAx val="71524352"/>
        <c:crosses val="autoZero"/>
        <c:crossBetween val="between"/>
      </c:valAx>
    </c:plotArea>
    <c:legend>
      <c:legendPos val="r"/>
      <c:layout>
        <c:manualLayout>
          <c:xMode val="edge"/>
          <c:yMode val="edge"/>
          <c:x val="0.77496615026372184"/>
          <c:y val="0.21863990959463489"/>
          <c:w val="0.20973748262346914"/>
          <c:h val="0.65508092738408286"/>
        </c:manualLayout>
      </c:layout>
      <c:txPr>
        <a:bodyPr/>
        <a:lstStyle/>
        <a:p>
          <a:pPr>
            <a:defRPr lang="en-GB"/>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6083</Words>
  <Characters>34679</Characters>
  <Application>Microsoft Office Word</Application>
  <DocSecurity>0</DocSecurity>
  <Lines>288</Lines>
  <Paragraphs>81</Paragraphs>
  <ScaleCrop>false</ScaleCrop>
  <Company/>
  <LinksUpToDate>false</LinksUpToDate>
  <CharactersWithSpaces>40681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Heaven Progress</dc:creator>
  <cp:lastModifiedBy>Heaven Progress</cp:lastModifiedBy>
  <cp:revision>5</cp:revision>
  <dcterms:created xsi:type="dcterms:W3CDTF">2017-05-31T17:36:00Z</dcterms:created>
  <dcterms:modified xsi:type="dcterms:W3CDTF">2017-05-31T17:47:00Z</dcterms:modified>
</cp:coreProperties>
</file>